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CFEC3" w14:textId="77777777" w:rsidR="00C17259" w:rsidRDefault="008C3787">
      <w:pPr>
        <w:rPr>
          <w:b/>
        </w:rPr>
      </w:pPr>
      <w:r w:rsidRPr="003A151D">
        <w:rPr>
          <w:b/>
        </w:rPr>
        <w:t>Tourism</w:t>
      </w:r>
    </w:p>
    <w:p w14:paraId="4CFCAE11" w14:textId="46F4217F" w:rsidR="008C3787" w:rsidRPr="000220CE" w:rsidRDefault="00507257">
      <w:pPr>
        <w:rPr>
          <w:bCs/>
        </w:rPr>
      </w:pPr>
      <w:r w:rsidRPr="00507257">
        <w:rPr>
          <w:bCs/>
        </w:rPr>
        <w:t xml:space="preserve">Tourism data is derived from a variety of sources and the Covid-19 pandemic had a significant effect on these sources.  As a result, there was </w:t>
      </w:r>
      <w:r w:rsidR="00D24720" w:rsidRPr="00507257">
        <w:rPr>
          <w:bCs/>
        </w:rPr>
        <w:t xml:space="preserve">no new estimates published </w:t>
      </w:r>
      <w:r w:rsidR="00D24720">
        <w:rPr>
          <w:bCs/>
        </w:rPr>
        <w:t>for</w:t>
      </w:r>
      <w:r w:rsidRPr="00507257">
        <w:rPr>
          <w:bCs/>
        </w:rPr>
        <w:t xml:space="preserve"> the following data between 2019 and 2023</w:t>
      </w:r>
      <w:r w:rsidR="00D24720">
        <w:rPr>
          <w:rStyle w:val="FootnoteReference"/>
          <w:bCs/>
        </w:rPr>
        <w:footnoteReference w:id="1"/>
      </w:r>
      <w:r w:rsidRPr="00507257">
        <w:rPr>
          <w:bCs/>
        </w:rPr>
        <w:t xml:space="preserve">.  </w:t>
      </w:r>
      <w:r w:rsidR="008C3787" w:rsidRPr="003A151D">
        <w:t xml:space="preserve">The number of overnight trips to the </w:t>
      </w:r>
      <w:r w:rsidR="000220CE">
        <w:t>B</w:t>
      </w:r>
      <w:r w:rsidR="008C3787" w:rsidRPr="003A151D">
        <w:t>oroug</w:t>
      </w:r>
      <w:r w:rsidR="005F169E" w:rsidRPr="003A151D">
        <w:t>h ha</w:t>
      </w:r>
      <w:r w:rsidR="00FA2D61">
        <w:t>s</w:t>
      </w:r>
      <w:r w:rsidR="005F169E" w:rsidRPr="003A151D">
        <w:t xml:space="preserve"> varied over the </w:t>
      </w:r>
      <w:r w:rsidR="00FA2D61">
        <w:t>period presented</w:t>
      </w:r>
      <w:r w:rsidR="008C3787" w:rsidRPr="003A151D">
        <w:t xml:space="preserve">. </w:t>
      </w:r>
      <w:r w:rsidR="00836E9E" w:rsidRPr="003A151D">
        <w:t xml:space="preserve">2014 saw the highest number of estimated overnight trips to Armagh City, Banbridge and Craigavon Borough (231,852). </w:t>
      </w:r>
      <w:r w:rsidR="008B4E2D">
        <w:t xml:space="preserve"> After falling in 2015 and 2016, the number of overnight trips increased again in 2017, however the following year this figure fell again by approximately 40,000 and since then, the number of overnight trips has remained around 189,000 for the years where data is available. </w:t>
      </w:r>
      <w:r w:rsidR="00B56A3C">
        <w:rPr>
          <w:rFonts w:ascii="Arial" w:eastAsia="Times New Roman" w:hAnsi="Arial" w:cs="Arial"/>
          <w:color w:val="000000"/>
          <w:sz w:val="24"/>
          <w:szCs w:val="24"/>
          <w:lang w:eastAsia="en-GB"/>
        </w:rPr>
        <w:t xml:space="preserve"> </w:t>
      </w:r>
      <w:r w:rsidR="008C3787" w:rsidRPr="003A151D">
        <w:t xml:space="preserve">The number of nights spent in the </w:t>
      </w:r>
      <w:r w:rsidR="000220CE">
        <w:t>B</w:t>
      </w:r>
      <w:r w:rsidR="008C3787" w:rsidRPr="003A151D">
        <w:t>orough</w:t>
      </w:r>
      <w:r w:rsidR="008C1EDC" w:rsidRPr="003A151D">
        <w:t xml:space="preserve"> </w:t>
      </w:r>
      <w:r w:rsidR="008C3787" w:rsidRPr="003A151D">
        <w:t xml:space="preserve">in </w:t>
      </w:r>
      <w:r w:rsidR="003A151D" w:rsidRPr="003A151D">
        <w:t>20</w:t>
      </w:r>
      <w:r w:rsidR="008B4E2D">
        <w:t>23</w:t>
      </w:r>
      <w:r w:rsidR="00154E71" w:rsidRPr="003A151D">
        <w:t xml:space="preserve"> was</w:t>
      </w:r>
      <w:r w:rsidR="008B4E2D">
        <w:t xml:space="preserve"> estimated at </w:t>
      </w:r>
      <w:r w:rsidR="000220CE">
        <w:t>650,098</w:t>
      </w:r>
      <w:r w:rsidR="00154E71" w:rsidRPr="003A151D">
        <w:t xml:space="preserve">. </w:t>
      </w:r>
      <w:r w:rsidR="008B4E2D">
        <w:t>Of the years presented below, 20</w:t>
      </w:r>
      <w:r w:rsidR="00E41CE3" w:rsidRPr="003A151D">
        <w:t xml:space="preserve">13 saw the highest number of nights spent </w:t>
      </w:r>
      <w:r w:rsidR="003A64E8">
        <w:t xml:space="preserve">at </w:t>
      </w:r>
      <w:r w:rsidR="00E41CE3" w:rsidRPr="003A151D">
        <w:t>817,881.</w:t>
      </w:r>
      <w:r w:rsidR="00B56A3C">
        <w:t xml:space="preserve"> </w:t>
      </w:r>
      <w:r w:rsidR="003A64E8">
        <w:t>E</w:t>
      </w:r>
      <w:r w:rsidR="00543353" w:rsidRPr="003A151D">
        <w:t>xpenditure</w:t>
      </w:r>
      <w:r w:rsidR="008B4E2D">
        <w:t xml:space="preserve"> </w:t>
      </w:r>
      <w:r w:rsidR="008B4E2D" w:rsidRPr="003A151D">
        <w:t xml:space="preserve">by visitors to the </w:t>
      </w:r>
      <w:r w:rsidR="00FC7244">
        <w:t>B</w:t>
      </w:r>
      <w:r w:rsidR="008B4E2D" w:rsidRPr="003A151D">
        <w:t>orough</w:t>
      </w:r>
      <w:r w:rsidR="008B4E2D">
        <w:t xml:space="preserve"> in 2023 was </w:t>
      </w:r>
      <w:r w:rsidR="003A64E8">
        <w:t xml:space="preserve">estimated at </w:t>
      </w:r>
      <w:r w:rsidR="008B4E2D">
        <w:t>£33,8</w:t>
      </w:r>
      <w:r w:rsidR="00FC7244">
        <w:t>17</w:t>
      </w:r>
      <w:r w:rsidR="008B4E2D">
        <w:t>,</w:t>
      </w:r>
      <w:r w:rsidR="00FC7244">
        <w:t>781</w:t>
      </w:r>
      <w:r w:rsidR="008B4E2D">
        <w:t xml:space="preserve"> which is the </w:t>
      </w:r>
      <w:r w:rsidR="008C1EDC" w:rsidRPr="003A151D">
        <w:t>highest</w:t>
      </w:r>
      <w:r w:rsidR="008B4E2D">
        <w:t xml:space="preserve"> it has been of the years presented. </w:t>
      </w:r>
    </w:p>
    <w:tbl>
      <w:tblPr>
        <w:tblStyle w:val="GridTable1Light"/>
        <w:tblW w:w="9140" w:type="dxa"/>
        <w:tblLook w:val="04A0" w:firstRow="1" w:lastRow="0" w:firstColumn="1" w:lastColumn="0" w:noHBand="0" w:noVBand="1"/>
      </w:tblPr>
      <w:tblGrid>
        <w:gridCol w:w="1280"/>
        <w:gridCol w:w="1379"/>
        <w:gridCol w:w="1181"/>
        <w:gridCol w:w="1379"/>
        <w:gridCol w:w="1181"/>
        <w:gridCol w:w="1686"/>
        <w:gridCol w:w="1054"/>
      </w:tblGrid>
      <w:tr w:rsidR="007E045D" w:rsidRPr="007E045D" w14:paraId="09D3402C" w14:textId="77777777" w:rsidTr="007E045D">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80" w:type="dxa"/>
            <w:noWrap/>
            <w:hideMark/>
          </w:tcPr>
          <w:p w14:paraId="25949A69" w14:textId="77777777" w:rsidR="007E045D" w:rsidRPr="007E045D" w:rsidRDefault="007E045D" w:rsidP="007E045D">
            <w:pPr>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 </w:t>
            </w:r>
          </w:p>
        </w:tc>
        <w:tc>
          <w:tcPr>
            <w:tcW w:w="2560" w:type="dxa"/>
            <w:gridSpan w:val="2"/>
            <w:noWrap/>
            <w:hideMark/>
          </w:tcPr>
          <w:p w14:paraId="50F46345" w14:textId="77777777" w:rsidR="007E045D" w:rsidRPr="007E045D" w:rsidRDefault="007E045D" w:rsidP="007E045D">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Overnight Trips</w:t>
            </w:r>
          </w:p>
        </w:tc>
        <w:tc>
          <w:tcPr>
            <w:tcW w:w="2560" w:type="dxa"/>
            <w:gridSpan w:val="2"/>
            <w:noWrap/>
            <w:hideMark/>
          </w:tcPr>
          <w:p w14:paraId="4A911F97" w14:textId="77777777" w:rsidR="007E045D" w:rsidRPr="007E045D" w:rsidRDefault="007E045D" w:rsidP="007E045D">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Nights</w:t>
            </w:r>
          </w:p>
        </w:tc>
        <w:tc>
          <w:tcPr>
            <w:tcW w:w="2740" w:type="dxa"/>
            <w:gridSpan w:val="2"/>
            <w:noWrap/>
            <w:hideMark/>
          </w:tcPr>
          <w:p w14:paraId="3C75AF4F" w14:textId="77777777" w:rsidR="007E045D" w:rsidRPr="007E045D" w:rsidRDefault="007E045D" w:rsidP="007E045D">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Expenditure</w:t>
            </w:r>
          </w:p>
        </w:tc>
      </w:tr>
      <w:tr w:rsidR="007E045D" w:rsidRPr="007E045D" w14:paraId="458A4950" w14:textId="77777777" w:rsidTr="007E045D">
        <w:trPr>
          <w:trHeight w:val="288"/>
        </w:trPr>
        <w:tc>
          <w:tcPr>
            <w:cnfStyle w:val="001000000000" w:firstRow="0" w:lastRow="0" w:firstColumn="1" w:lastColumn="0" w:oddVBand="0" w:evenVBand="0" w:oddHBand="0" w:evenHBand="0" w:firstRowFirstColumn="0" w:firstRowLastColumn="0" w:lastRowFirstColumn="0" w:lastRowLastColumn="0"/>
            <w:tcW w:w="1280" w:type="dxa"/>
            <w:noWrap/>
            <w:hideMark/>
          </w:tcPr>
          <w:p w14:paraId="08517CA1" w14:textId="77777777" w:rsidR="007E045D" w:rsidRPr="007E045D" w:rsidRDefault="007E045D" w:rsidP="007E045D">
            <w:pPr>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 </w:t>
            </w:r>
          </w:p>
        </w:tc>
        <w:tc>
          <w:tcPr>
            <w:tcW w:w="1379" w:type="dxa"/>
            <w:noWrap/>
            <w:hideMark/>
          </w:tcPr>
          <w:p w14:paraId="3926D925"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7E045D">
              <w:rPr>
                <w:rFonts w:ascii="Aptos Narrow" w:eastAsia="Times New Roman" w:hAnsi="Aptos Narrow" w:cs="Times New Roman"/>
                <w:b/>
                <w:bCs/>
                <w:color w:val="000000"/>
                <w:lang w:eastAsia="en-GB"/>
              </w:rPr>
              <w:t>Number</w:t>
            </w:r>
          </w:p>
        </w:tc>
        <w:tc>
          <w:tcPr>
            <w:tcW w:w="1181" w:type="dxa"/>
            <w:noWrap/>
            <w:hideMark/>
          </w:tcPr>
          <w:p w14:paraId="2265442C"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7E045D">
              <w:rPr>
                <w:rFonts w:ascii="Aptos Narrow" w:eastAsia="Times New Roman" w:hAnsi="Aptos Narrow" w:cs="Times New Roman"/>
                <w:b/>
                <w:bCs/>
                <w:color w:val="000000"/>
                <w:lang w:eastAsia="en-GB"/>
              </w:rPr>
              <w:t>% of NI</w:t>
            </w:r>
          </w:p>
        </w:tc>
        <w:tc>
          <w:tcPr>
            <w:tcW w:w="1379" w:type="dxa"/>
            <w:noWrap/>
            <w:hideMark/>
          </w:tcPr>
          <w:p w14:paraId="21F51CC2"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7E045D">
              <w:rPr>
                <w:rFonts w:ascii="Aptos Narrow" w:eastAsia="Times New Roman" w:hAnsi="Aptos Narrow" w:cs="Times New Roman"/>
                <w:b/>
                <w:bCs/>
                <w:color w:val="000000"/>
                <w:lang w:eastAsia="en-GB"/>
              </w:rPr>
              <w:t>Number</w:t>
            </w:r>
          </w:p>
        </w:tc>
        <w:tc>
          <w:tcPr>
            <w:tcW w:w="1181" w:type="dxa"/>
            <w:noWrap/>
            <w:hideMark/>
          </w:tcPr>
          <w:p w14:paraId="535D10F9"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7E045D">
              <w:rPr>
                <w:rFonts w:ascii="Aptos Narrow" w:eastAsia="Times New Roman" w:hAnsi="Aptos Narrow" w:cs="Times New Roman"/>
                <w:b/>
                <w:bCs/>
                <w:color w:val="000000"/>
                <w:lang w:eastAsia="en-GB"/>
              </w:rPr>
              <w:t>% of NI</w:t>
            </w:r>
          </w:p>
        </w:tc>
        <w:tc>
          <w:tcPr>
            <w:tcW w:w="1686" w:type="dxa"/>
            <w:noWrap/>
            <w:hideMark/>
          </w:tcPr>
          <w:p w14:paraId="3460F9C6"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7E045D">
              <w:rPr>
                <w:rFonts w:ascii="Aptos Narrow" w:eastAsia="Times New Roman" w:hAnsi="Aptos Narrow" w:cs="Times New Roman"/>
                <w:b/>
                <w:bCs/>
                <w:color w:val="000000"/>
                <w:lang w:eastAsia="en-GB"/>
              </w:rPr>
              <w:t>£</w:t>
            </w:r>
          </w:p>
        </w:tc>
        <w:tc>
          <w:tcPr>
            <w:tcW w:w="1054" w:type="dxa"/>
            <w:noWrap/>
            <w:hideMark/>
          </w:tcPr>
          <w:p w14:paraId="075AE831"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7E045D">
              <w:rPr>
                <w:rFonts w:ascii="Aptos Narrow" w:eastAsia="Times New Roman" w:hAnsi="Aptos Narrow" w:cs="Times New Roman"/>
                <w:b/>
                <w:bCs/>
                <w:color w:val="000000"/>
                <w:lang w:eastAsia="en-GB"/>
              </w:rPr>
              <w:t>% of NI</w:t>
            </w:r>
          </w:p>
        </w:tc>
      </w:tr>
      <w:tr w:rsidR="007E045D" w:rsidRPr="007E045D" w14:paraId="44B8A8F7" w14:textId="77777777" w:rsidTr="007E045D">
        <w:trPr>
          <w:trHeight w:val="288"/>
        </w:trPr>
        <w:tc>
          <w:tcPr>
            <w:cnfStyle w:val="001000000000" w:firstRow="0" w:lastRow="0" w:firstColumn="1" w:lastColumn="0" w:oddVBand="0" w:evenVBand="0" w:oddHBand="0" w:evenHBand="0" w:firstRowFirstColumn="0" w:firstRowLastColumn="0" w:lastRowFirstColumn="0" w:lastRowLastColumn="0"/>
            <w:tcW w:w="1280" w:type="dxa"/>
            <w:noWrap/>
            <w:hideMark/>
          </w:tcPr>
          <w:p w14:paraId="652B4DAA" w14:textId="77777777" w:rsidR="007E045D" w:rsidRPr="007E045D" w:rsidRDefault="007E045D" w:rsidP="007E045D">
            <w:pPr>
              <w:jc w:val="right"/>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2013</w:t>
            </w:r>
          </w:p>
        </w:tc>
        <w:tc>
          <w:tcPr>
            <w:tcW w:w="1379" w:type="dxa"/>
            <w:noWrap/>
            <w:hideMark/>
          </w:tcPr>
          <w:p w14:paraId="494F5729"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201,161</w:t>
            </w:r>
          </w:p>
        </w:tc>
        <w:tc>
          <w:tcPr>
            <w:tcW w:w="1181" w:type="dxa"/>
            <w:noWrap/>
            <w:hideMark/>
          </w:tcPr>
          <w:p w14:paraId="03CFA906"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5%</w:t>
            </w:r>
          </w:p>
        </w:tc>
        <w:tc>
          <w:tcPr>
            <w:tcW w:w="1379" w:type="dxa"/>
            <w:noWrap/>
            <w:hideMark/>
          </w:tcPr>
          <w:p w14:paraId="5093F896"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817,881</w:t>
            </w:r>
          </w:p>
        </w:tc>
        <w:tc>
          <w:tcPr>
            <w:tcW w:w="1181" w:type="dxa"/>
            <w:noWrap/>
            <w:hideMark/>
          </w:tcPr>
          <w:p w14:paraId="57B46F2D"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6%</w:t>
            </w:r>
          </w:p>
        </w:tc>
        <w:tc>
          <w:tcPr>
            <w:tcW w:w="1686" w:type="dxa"/>
            <w:noWrap/>
            <w:hideMark/>
          </w:tcPr>
          <w:p w14:paraId="401A05A3"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21,894,975</w:t>
            </w:r>
          </w:p>
        </w:tc>
        <w:tc>
          <w:tcPr>
            <w:tcW w:w="1054" w:type="dxa"/>
            <w:noWrap/>
            <w:hideMark/>
          </w:tcPr>
          <w:p w14:paraId="41571475"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3%</w:t>
            </w:r>
          </w:p>
        </w:tc>
      </w:tr>
      <w:tr w:rsidR="007E045D" w:rsidRPr="007E045D" w14:paraId="43D10CB1" w14:textId="77777777" w:rsidTr="007E045D">
        <w:trPr>
          <w:trHeight w:val="288"/>
        </w:trPr>
        <w:tc>
          <w:tcPr>
            <w:cnfStyle w:val="001000000000" w:firstRow="0" w:lastRow="0" w:firstColumn="1" w:lastColumn="0" w:oddVBand="0" w:evenVBand="0" w:oddHBand="0" w:evenHBand="0" w:firstRowFirstColumn="0" w:firstRowLastColumn="0" w:lastRowFirstColumn="0" w:lastRowLastColumn="0"/>
            <w:tcW w:w="1280" w:type="dxa"/>
            <w:noWrap/>
            <w:hideMark/>
          </w:tcPr>
          <w:p w14:paraId="7B36EB1C" w14:textId="77777777" w:rsidR="007E045D" w:rsidRPr="007E045D" w:rsidRDefault="007E045D" w:rsidP="007E045D">
            <w:pPr>
              <w:jc w:val="right"/>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2014</w:t>
            </w:r>
          </w:p>
        </w:tc>
        <w:tc>
          <w:tcPr>
            <w:tcW w:w="1379" w:type="dxa"/>
            <w:noWrap/>
            <w:hideMark/>
          </w:tcPr>
          <w:p w14:paraId="04E69A25"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231,852</w:t>
            </w:r>
          </w:p>
        </w:tc>
        <w:tc>
          <w:tcPr>
            <w:tcW w:w="1181" w:type="dxa"/>
            <w:noWrap/>
            <w:hideMark/>
          </w:tcPr>
          <w:p w14:paraId="1DB4326B"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5%</w:t>
            </w:r>
          </w:p>
        </w:tc>
        <w:tc>
          <w:tcPr>
            <w:tcW w:w="1379" w:type="dxa"/>
            <w:noWrap/>
            <w:hideMark/>
          </w:tcPr>
          <w:p w14:paraId="24FEF675" w14:textId="30F6CEAC"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769,69</w:t>
            </w:r>
            <w:r w:rsidR="00EB1F67">
              <w:rPr>
                <w:rFonts w:ascii="Aptos Narrow" w:eastAsia="Times New Roman" w:hAnsi="Aptos Narrow" w:cs="Times New Roman"/>
                <w:color w:val="000000"/>
                <w:lang w:eastAsia="en-GB"/>
              </w:rPr>
              <w:t>2</w:t>
            </w:r>
          </w:p>
        </w:tc>
        <w:tc>
          <w:tcPr>
            <w:tcW w:w="1181" w:type="dxa"/>
            <w:noWrap/>
            <w:hideMark/>
          </w:tcPr>
          <w:p w14:paraId="6441BA32"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5%</w:t>
            </w:r>
          </w:p>
        </w:tc>
        <w:tc>
          <w:tcPr>
            <w:tcW w:w="1686" w:type="dxa"/>
            <w:noWrap/>
            <w:hideMark/>
          </w:tcPr>
          <w:p w14:paraId="48910C3F"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28,120,012</w:t>
            </w:r>
          </w:p>
        </w:tc>
        <w:tc>
          <w:tcPr>
            <w:tcW w:w="1054" w:type="dxa"/>
            <w:noWrap/>
            <w:hideMark/>
          </w:tcPr>
          <w:p w14:paraId="7F8F9EEE"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4%</w:t>
            </w:r>
          </w:p>
        </w:tc>
      </w:tr>
      <w:tr w:rsidR="007E045D" w:rsidRPr="007E045D" w14:paraId="669375E6" w14:textId="77777777" w:rsidTr="007E045D">
        <w:trPr>
          <w:trHeight w:val="288"/>
        </w:trPr>
        <w:tc>
          <w:tcPr>
            <w:cnfStyle w:val="001000000000" w:firstRow="0" w:lastRow="0" w:firstColumn="1" w:lastColumn="0" w:oddVBand="0" w:evenVBand="0" w:oddHBand="0" w:evenHBand="0" w:firstRowFirstColumn="0" w:firstRowLastColumn="0" w:lastRowFirstColumn="0" w:lastRowLastColumn="0"/>
            <w:tcW w:w="1280" w:type="dxa"/>
            <w:noWrap/>
            <w:hideMark/>
          </w:tcPr>
          <w:p w14:paraId="45E0C26F" w14:textId="77777777" w:rsidR="007E045D" w:rsidRPr="007E045D" w:rsidRDefault="007E045D" w:rsidP="007E045D">
            <w:pPr>
              <w:jc w:val="right"/>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2015</w:t>
            </w:r>
          </w:p>
        </w:tc>
        <w:tc>
          <w:tcPr>
            <w:tcW w:w="1379" w:type="dxa"/>
            <w:noWrap/>
            <w:hideMark/>
          </w:tcPr>
          <w:p w14:paraId="5A8FF7E3"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149,782</w:t>
            </w:r>
          </w:p>
        </w:tc>
        <w:tc>
          <w:tcPr>
            <w:tcW w:w="1181" w:type="dxa"/>
            <w:noWrap/>
            <w:hideMark/>
          </w:tcPr>
          <w:p w14:paraId="602597F4"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3%</w:t>
            </w:r>
          </w:p>
        </w:tc>
        <w:tc>
          <w:tcPr>
            <w:tcW w:w="1379" w:type="dxa"/>
            <w:noWrap/>
            <w:hideMark/>
          </w:tcPr>
          <w:p w14:paraId="1D435957"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563,238</w:t>
            </w:r>
          </w:p>
        </w:tc>
        <w:tc>
          <w:tcPr>
            <w:tcW w:w="1181" w:type="dxa"/>
            <w:noWrap/>
            <w:hideMark/>
          </w:tcPr>
          <w:p w14:paraId="3BC70F16"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4%</w:t>
            </w:r>
          </w:p>
        </w:tc>
        <w:tc>
          <w:tcPr>
            <w:tcW w:w="1686" w:type="dxa"/>
            <w:noWrap/>
            <w:hideMark/>
          </w:tcPr>
          <w:p w14:paraId="5E9A8679"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22,539,092</w:t>
            </w:r>
          </w:p>
        </w:tc>
        <w:tc>
          <w:tcPr>
            <w:tcW w:w="1054" w:type="dxa"/>
            <w:noWrap/>
            <w:hideMark/>
          </w:tcPr>
          <w:p w14:paraId="6925B4BC"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3%</w:t>
            </w:r>
          </w:p>
        </w:tc>
      </w:tr>
      <w:tr w:rsidR="007E045D" w:rsidRPr="007E045D" w14:paraId="667211B2" w14:textId="77777777" w:rsidTr="007E045D">
        <w:trPr>
          <w:trHeight w:val="288"/>
        </w:trPr>
        <w:tc>
          <w:tcPr>
            <w:cnfStyle w:val="001000000000" w:firstRow="0" w:lastRow="0" w:firstColumn="1" w:lastColumn="0" w:oddVBand="0" w:evenVBand="0" w:oddHBand="0" w:evenHBand="0" w:firstRowFirstColumn="0" w:firstRowLastColumn="0" w:lastRowFirstColumn="0" w:lastRowLastColumn="0"/>
            <w:tcW w:w="1280" w:type="dxa"/>
            <w:noWrap/>
            <w:hideMark/>
          </w:tcPr>
          <w:p w14:paraId="421EDE15" w14:textId="77777777" w:rsidR="007E045D" w:rsidRPr="007E045D" w:rsidRDefault="007E045D" w:rsidP="007E045D">
            <w:pPr>
              <w:jc w:val="right"/>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2016</w:t>
            </w:r>
          </w:p>
        </w:tc>
        <w:tc>
          <w:tcPr>
            <w:tcW w:w="1379" w:type="dxa"/>
            <w:noWrap/>
            <w:hideMark/>
          </w:tcPr>
          <w:p w14:paraId="353AAA30"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144,952</w:t>
            </w:r>
          </w:p>
        </w:tc>
        <w:tc>
          <w:tcPr>
            <w:tcW w:w="1181" w:type="dxa"/>
            <w:noWrap/>
            <w:hideMark/>
          </w:tcPr>
          <w:p w14:paraId="269FD61F"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3%</w:t>
            </w:r>
          </w:p>
        </w:tc>
        <w:tc>
          <w:tcPr>
            <w:tcW w:w="1379" w:type="dxa"/>
            <w:noWrap/>
            <w:hideMark/>
          </w:tcPr>
          <w:p w14:paraId="5CE61F34"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726,296</w:t>
            </w:r>
          </w:p>
        </w:tc>
        <w:tc>
          <w:tcPr>
            <w:tcW w:w="1181" w:type="dxa"/>
            <w:noWrap/>
            <w:hideMark/>
          </w:tcPr>
          <w:p w14:paraId="0347F3B9"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5%</w:t>
            </w:r>
          </w:p>
        </w:tc>
        <w:tc>
          <w:tcPr>
            <w:tcW w:w="1686" w:type="dxa"/>
            <w:noWrap/>
            <w:hideMark/>
          </w:tcPr>
          <w:p w14:paraId="7A5DADE9"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25,548,339</w:t>
            </w:r>
          </w:p>
        </w:tc>
        <w:tc>
          <w:tcPr>
            <w:tcW w:w="1054" w:type="dxa"/>
            <w:noWrap/>
            <w:hideMark/>
          </w:tcPr>
          <w:p w14:paraId="76E5BC34"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3%</w:t>
            </w:r>
          </w:p>
        </w:tc>
      </w:tr>
      <w:tr w:rsidR="007E045D" w:rsidRPr="007E045D" w14:paraId="6DD7DFC2" w14:textId="77777777" w:rsidTr="007E045D">
        <w:trPr>
          <w:trHeight w:val="288"/>
        </w:trPr>
        <w:tc>
          <w:tcPr>
            <w:cnfStyle w:val="001000000000" w:firstRow="0" w:lastRow="0" w:firstColumn="1" w:lastColumn="0" w:oddVBand="0" w:evenVBand="0" w:oddHBand="0" w:evenHBand="0" w:firstRowFirstColumn="0" w:firstRowLastColumn="0" w:lastRowFirstColumn="0" w:lastRowLastColumn="0"/>
            <w:tcW w:w="1280" w:type="dxa"/>
            <w:noWrap/>
            <w:hideMark/>
          </w:tcPr>
          <w:p w14:paraId="411DCEC7" w14:textId="77777777" w:rsidR="007E045D" w:rsidRPr="007E045D" w:rsidRDefault="007E045D" w:rsidP="007E045D">
            <w:pPr>
              <w:jc w:val="right"/>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2017</w:t>
            </w:r>
          </w:p>
        </w:tc>
        <w:tc>
          <w:tcPr>
            <w:tcW w:w="1379" w:type="dxa"/>
            <w:noWrap/>
            <w:hideMark/>
          </w:tcPr>
          <w:p w14:paraId="2F927E76"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228,595</w:t>
            </w:r>
          </w:p>
        </w:tc>
        <w:tc>
          <w:tcPr>
            <w:tcW w:w="1181" w:type="dxa"/>
            <w:noWrap/>
            <w:hideMark/>
          </w:tcPr>
          <w:p w14:paraId="220A4A5D"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5%</w:t>
            </w:r>
          </w:p>
        </w:tc>
        <w:tc>
          <w:tcPr>
            <w:tcW w:w="1379" w:type="dxa"/>
            <w:noWrap/>
            <w:hideMark/>
          </w:tcPr>
          <w:p w14:paraId="7FD38EEC"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780,583</w:t>
            </w:r>
          </w:p>
        </w:tc>
        <w:tc>
          <w:tcPr>
            <w:tcW w:w="1181" w:type="dxa"/>
            <w:noWrap/>
            <w:hideMark/>
          </w:tcPr>
          <w:p w14:paraId="721EFC53"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5%</w:t>
            </w:r>
          </w:p>
        </w:tc>
        <w:tc>
          <w:tcPr>
            <w:tcW w:w="1686" w:type="dxa"/>
            <w:noWrap/>
            <w:hideMark/>
          </w:tcPr>
          <w:p w14:paraId="29C30174"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32,384,669</w:t>
            </w:r>
          </w:p>
        </w:tc>
        <w:tc>
          <w:tcPr>
            <w:tcW w:w="1054" w:type="dxa"/>
            <w:noWrap/>
            <w:hideMark/>
          </w:tcPr>
          <w:p w14:paraId="391B7803"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3%</w:t>
            </w:r>
          </w:p>
        </w:tc>
      </w:tr>
      <w:tr w:rsidR="007E045D" w:rsidRPr="007E045D" w14:paraId="7EC35E34" w14:textId="77777777" w:rsidTr="007E045D">
        <w:trPr>
          <w:trHeight w:val="288"/>
        </w:trPr>
        <w:tc>
          <w:tcPr>
            <w:cnfStyle w:val="001000000000" w:firstRow="0" w:lastRow="0" w:firstColumn="1" w:lastColumn="0" w:oddVBand="0" w:evenVBand="0" w:oddHBand="0" w:evenHBand="0" w:firstRowFirstColumn="0" w:firstRowLastColumn="0" w:lastRowFirstColumn="0" w:lastRowLastColumn="0"/>
            <w:tcW w:w="1280" w:type="dxa"/>
            <w:noWrap/>
            <w:hideMark/>
          </w:tcPr>
          <w:p w14:paraId="0DAFF90F" w14:textId="77777777" w:rsidR="007E045D" w:rsidRPr="007E045D" w:rsidRDefault="007E045D" w:rsidP="007E045D">
            <w:pPr>
              <w:jc w:val="right"/>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2018</w:t>
            </w:r>
          </w:p>
        </w:tc>
        <w:tc>
          <w:tcPr>
            <w:tcW w:w="1379" w:type="dxa"/>
            <w:noWrap/>
            <w:hideMark/>
          </w:tcPr>
          <w:p w14:paraId="32F2775C"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188,551</w:t>
            </w:r>
          </w:p>
        </w:tc>
        <w:tc>
          <w:tcPr>
            <w:tcW w:w="1181" w:type="dxa"/>
            <w:noWrap/>
            <w:hideMark/>
          </w:tcPr>
          <w:p w14:paraId="1AD9E622"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4%</w:t>
            </w:r>
          </w:p>
        </w:tc>
        <w:tc>
          <w:tcPr>
            <w:tcW w:w="1379" w:type="dxa"/>
            <w:noWrap/>
            <w:hideMark/>
          </w:tcPr>
          <w:p w14:paraId="345E546F"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704,130</w:t>
            </w:r>
          </w:p>
        </w:tc>
        <w:tc>
          <w:tcPr>
            <w:tcW w:w="1181" w:type="dxa"/>
            <w:noWrap/>
            <w:hideMark/>
          </w:tcPr>
          <w:p w14:paraId="21D9F500"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4%</w:t>
            </w:r>
          </w:p>
        </w:tc>
        <w:tc>
          <w:tcPr>
            <w:tcW w:w="1686" w:type="dxa"/>
            <w:noWrap/>
            <w:hideMark/>
          </w:tcPr>
          <w:p w14:paraId="4198D033"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26,404,319</w:t>
            </w:r>
          </w:p>
        </w:tc>
        <w:tc>
          <w:tcPr>
            <w:tcW w:w="1054" w:type="dxa"/>
            <w:noWrap/>
            <w:hideMark/>
          </w:tcPr>
          <w:p w14:paraId="1E780E25"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3%</w:t>
            </w:r>
          </w:p>
        </w:tc>
      </w:tr>
      <w:tr w:rsidR="007E045D" w:rsidRPr="007E045D" w14:paraId="41A6F232" w14:textId="77777777" w:rsidTr="007E045D">
        <w:trPr>
          <w:trHeight w:val="288"/>
        </w:trPr>
        <w:tc>
          <w:tcPr>
            <w:cnfStyle w:val="001000000000" w:firstRow="0" w:lastRow="0" w:firstColumn="1" w:lastColumn="0" w:oddVBand="0" w:evenVBand="0" w:oddHBand="0" w:evenHBand="0" w:firstRowFirstColumn="0" w:firstRowLastColumn="0" w:lastRowFirstColumn="0" w:lastRowLastColumn="0"/>
            <w:tcW w:w="1280" w:type="dxa"/>
            <w:noWrap/>
            <w:hideMark/>
          </w:tcPr>
          <w:p w14:paraId="2801FD02" w14:textId="11D2E596" w:rsidR="007E045D" w:rsidRPr="007E045D" w:rsidRDefault="000220CE" w:rsidP="007E045D">
            <w:pPr>
              <w:jc w:val="right"/>
              <w:rPr>
                <w:rFonts w:ascii="Aptos Narrow" w:eastAsia="Times New Roman" w:hAnsi="Aptos Narrow" w:cs="Times New Roman"/>
                <w:color w:val="000000"/>
                <w:lang w:eastAsia="en-GB"/>
              </w:rPr>
            </w:pPr>
            <w:r>
              <w:rPr>
                <w:rFonts w:ascii="Aptos Narrow" w:eastAsia="Times New Roman" w:hAnsi="Aptos Narrow" w:cs="Times New Roman"/>
                <w:noProof/>
                <w:color w:val="000000"/>
                <w:lang w:eastAsia="en-GB"/>
              </w:rPr>
              <mc:AlternateContent>
                <mc:Choice Requires="wps">
                  <w:drawing>
                    <wp:anchor distT="0" distB="0" distL="114300" distR="114300" simplePos="0" relativeHeight="251659264" behindDoc="0" locked="0" layoutInCell="1" allowOverlap="1" wp14:anchorId="62BE7033" wp14:editId="1B0E0C48">
                      <wp:simplePos x="0" y="0"/>
                      <wp:positionH relativeFrom="column">
                        <wp:posOffset>-78194</wp:posOffset>
                      </wp:positionH>
                      <wp:positionV relativeFrom="paragraph">
                        <wp:posOffset>176351</wp:posOffset>
                      </wp:positionV>
                      <wp:extent cx="5807710" cy="0"/>
                      <wp:effectExtent l="0" t="19050" r="21590" b="19050"/>
                      <wp:wrapNone/>
                      <wp:docPr id="74359509" name="Straight Connector 1"/>
                      <wp:cNvGraphicFramePr/>
                      <a:graphic xmlns:a="http://schemas.openxmlformats.org/drawingml/2006/main">
                        <a:graphicData uri="http://schemas.microsoft.com/office/word/2010/wordprocessingShape">
                          <wps:wsp>
                            <wps:cNvCnPr/>
                            <wps:spPr>
                              <a:xfrm flipV="1">
                                <a:off x="0" y="0"/>
                                <a:ext cx="580771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386FB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13.9pt" to="451.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" strokecolor="#5b9bd5 [3204]" strokeweight="2.25pt">
                      <v:stroke joinstyle="miter"/>
                    </v:line>
                  </w:pict>
                </mc:Fallback>
              </mc:AlternateContent>
            </w:r>
            <w:r w:rsidR="007E045D" w:rsidRPr="007E045D">
              <w:rPr>
                <w:rFonts w:ascii="Aptos Narrow" w:eastAsia="Times New Roman" w:hAnsi="Aptos Narrow" w:cs="Times New Roman"/>
                <w:color w:val="000000"/>
                <w:lang w:eastAsia="en-GB"/>
              </w:rPr>
              <w:t>2019</w:t>
            </w:r>
          </w:p>
        </w:tc>
        <w:tc>
          <w:tcPr>
            <w:tcW w:w="1379" w:type="dxa"/>
            <w:noWrap/>
            <w:hideMark/>
          </w:tcPr>
          <w:p w14:paraId="6F5402FA"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189,456</w:t>
            </w:r>
          </w:p>
        </w:tc>
        <w:tc>
          <w:tcPr>
            <w:tcW w:w="1181" w:type="dxa"/>
            <w:noWrap/>
            <w:hideMark/>
          </w:tcPr>
          <w:p w14:paraId="05031514"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4%</w:t>
            </w:r>
          </w:p>
        </w:tc>
        <w:tc>
          <w:tcPr>
            <w:tcW w:w="1379" w:type="dxa"/>
            <w:noWrap/>
            <w:hideMark/>
          </w:tcPr>
          <w:p w14:paraId="624C553D"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646,945</w:t>
            </w:r>
          </w:p>
        </w:tc>
        <w:tc>
          <w:tcPr>
            <w:tcW w:w="1181" w:type="dxa"/>
            <w:noWrap/>
            <w:hideMark/>
          </w:tcPr>
          <w:p w14:paraId="256EEF1C"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4%</w:t>
            </w:r>
          </w:p>
        </w:tc>
        <w:tc>
          <w:tcPr>
            <w:tcW w:w="1686" w:type="dxa"/>
            <w:noWrap/>
            <w:hideMark/>
          </w:tcPr>
          <w:p w14:paraId="2BD7D8DE"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31,835,207</w:t>
            </w:r>
          </w:p>
        </w:tc>
        <w:tc>
          <w:tcPr>
            <w:tcW w:w="1054" w:type="dxa"/>
            <w:noWrap/>
            <w:hideMark/>
          </w:tcPr>
          <w:p w14:paraId="12A7925F"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3%</w:t>
            </w:r>
          </w:p>
        </w:tc>
      </w:tr>
      <w:tr w:rsidR="007E045D" w:rsidRPr="007E045D" w14:paraId="41333091" w14:textId="77777777" w:rsidTr="007E045D">
        <w:trPr>
          <w:trHeight w:val="288"/>
        </w:trPr>
        <w:tc>
          <w:tcPr>
            <w:cnfStyle w:val="001000000000" w:firstRow="0" w:lastRow="0" w:firstColumn="1" w:lastColumn="0" w:oddVBand="0" w:evenVBand="0" w:oddHBand="0" w:evenHBand="0" w:firstRowFirstColumn="0" w:firstRowLastColumn="0" w:lastRowFirstColumn="0" w:lastRowLastColumn="0"/>
            <w:tcW w:w="1280" w:type="dxa"/>
            <w:noWrap/>
            <w:hideMark/>
          </w:tcPr>
          <w:p w14:paraId="3CA63E08" w14:textId="77777777" w:rsidR="007E045D" w:rsidRPr="007E045D" w:rsidRDefault="007E045D" w:rsidP="007E045D">
            <w:pPr>
              <w:jc w:val="right"/>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2023</w:t>
            </w:r>
          </w:p>
        </w:tc>
        <w:tc>
          <w:tcPr>
            <w:tcW w:w="1379" w:type="dxa"/>
            <w:noWrap/>
            <w:hideMark/>
          </w:tcPr>
          <w:p w14:paraId="50A698E4" w14:textId="1A29AF14"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18</w:t>
            </w:r>
            <w:r w:rsidR="000220CE">
              <w:rPr>
                <w:rFonts w:ascii="Aptos Narrow" w:eastAsia="Times New Roman" w:hAnsi="Aptos Narrow" w:cs="Times New Roman"/>
                <w:color w:val="000000"/>
                <w:lang w:eastAsia="en-GB"/>
              </w:rPr>
              <w:t>9,248</w:t>
            </w:r>
          </w:p>
        </w:tc>
        <w:tc>
          <w:tcPr>
            <w:tcW w:w="1181" w:type="dxa"/>
            <w:noWrap/>
            <w:hideMark/>
          </w:tcPr>
          <w:p w14:paraId="22443075" w14:textId="2692578F" w:rsidR="007E045D" w:rsidRPr="007E045D" w:rsidRDefault="000220CE"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3</w:t>
            </w:r>
            <w:r w:rsidR="007E045D" w:rsidRPr="007E045D">
              <w:rPr>
                <w:rFonts w:ascii="Aptos Narrow" w:eastAsia="Times New Roman" w:hAnsi="Aptos Narrow" w:cs="Times New Roman"/>
                <w:color w:val="000000"/>
                <w:lang w:eastAsia="en-GB"/>
              </w:rPr>
              <w:t>%</w:t>
            </w:r>
          </w:p>
        </w:tc>
        <w:tc>
          <w:tcPr>
            <w:tcW w:w="1379" w:type="dxa"/>
            <w:noWrap/>
            <w:hideMark/>
          </w:tcPr>
          <w:p w14:paraId="2D03B2E0" w14:textId="7142C1A9" w:rsidR="007E045D" w:rsidRPr="007E045D" w:rsidRDefault="000220CE"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eastAsia="Times New Roman" w:hAnsi="Aptos Narrow" w:cs="Times New Roman"/>
                <w:color w:val="000000"/>
                <w:lang w:eastAsia="en-GB"/>
              </w:rPr>
              <w:t>650,098</w:t>
            </w:r>
          </w:p>
        </w:tc>
        <w:tc>
          <w:tcPr>
            <w:tcW w:w="1181" w:type="dxa"/>
            <w:noWrap/>
            <w:hideMark/>
          </w:tcPr>
          <w:p w14:paraId="01F201F6"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4%</w:t>
            </w:r>
          </w:p>
        </w:tc>
        <w:tc>
          <w:tcPr>
            <w:tcW w:w="1686" w:type="dxa"/>
            <w:noWrap/>
            <w:hideMark/>
          </w:tcPr>
          <w:p w14:paraId="3C41F1E4" w14:textId="3FB16C2F"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33,</w:t>
            </w:r>
            <w:r w:rsidR="000220CE">
              <w:rPr>
                <w:rFonts w:ascii="Aptos Narrow" w:eastAsia="Times New Roman" w:hAnsi="Aptos Narrow" w:cs="Times New Roman"/>
                <w:color w:val="000000"/>
                <w:lang w:eastAsia="en-GB"/>
              </w:rPr>
              <w:t>817,781</w:t>
            </w:r>
          </w:p>
        </w:tc>
        <w:tc>
          <w:tcPr>
            <w:tcW w:w="1054" w:type="dxa"/>
            <w:noWrap/>
            <w:hideMark/>
          </w:tcPr>
          <w:p w14:paraId="48E98229" w14:textId="77777777" w:rsidR="007E045D" w:rsidRPr="007E045D" w:rsidRDefault="007E045D" w:rsidP="007E045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7E045D">
              <w:rPr>
                <w:rFonts w:ascii="Aptos Narrow" w:eastAsia="Times New Roman" w:hAnsi="Aptos Narrow" w:cs="Times New Roman"/>
                <w:color w:val="000000"/>
                <w:lang w:eastAsia="en-GB"/>
              </w:rPr>
              <w:t>3%</w:t>
            </w:r>
          </w:p>
        </w:tc>
      </w:tr>
    </w:tbl>
    <w:p w14:paraId="14AEA4DC" w14:textId="23F8C98D" w:rsidR="00F62980" w:rsidRDefault="007E045D">
      <w:pPr>
        <w:rPr>
          <w:i/>
          <w:sz w:val="20"/>
          <w:szCs w:val="20"/>
        </w:rPr>
      </w:pPr>
      <w:r w:rsidRPr="005F169E">
        <w:rPr>
          <w:i/>
          <w:sz w:val="20"/>
          <w:szCs w:val="20"/>
        </w:rPr>
        <w:t xml:space="preserve">Table </w:t>
      </w:r>
      <w:r w:rsidR="00536DE2">
        <w:rPr>
          <w:i/>
          <w:sz w:val="20"/>
          <w:szCs w:val="20"/>
        </w:rPr>
        <w:t>1</w:t>
      </w:r>
      <w:r w:rsidRPr="005F169E">
        <w:rPr>
          <w:i/>
          <w:sz w:val="20"/>
          <w:szCs w:val="20"/>
        </w:rPr>
        <w:t>: Estimated overnight trips, nights and expenditure in Armagh City, Banbridge and Craigavon Borough 2013 to 20</w:t>
      </w:r>
      <w:r>
        <w:rPr>
          <w:i/>
          <w:sz w:val="20"/>
          <w:szCs w:val="20"/>
        </w:rPr>
        <w:t>23</w:t>
      </w:r>
      <w:r w:rsidRPr="005F169E">
        <w:rPr>
          <w:i/>
          <w:sz w:val="20"/>
          <w:szCs w:val="20"/>
        </w:rPr>
        <w:t>. Source: Tourism Statistics, NISRA.</w:t>
      </w:r>
    </w:p>
    <w:p w14:paraId="0AF747DE" w14:textId="7C2E5294" w:rsidR="00A70F15" w:rsidRPr="005F169E" w:rsidRDefault="00FC7244" w:rsidP="00A70F15">
      <w:pPr>
        <w:rPr>
          <w:i/>
          <w:color w:val="FF0000"/>
          <w:sz w:val="20"/>
          <w:szCs w:val="20"/>
        </w:rPr>
      </w:pPr>
      <w:r>
        <w:rPr>
          <w:noProof/>
        </w:rPr>
        <w:drawing>
          <wp:inline distT="0" distB="0" distL="0" distR="0" wp14:anchorId="1DC046FF" wp14:editId="6358AB68">
            <wp:extent cx="6029325" cy="3143885"/>
            <wp:effectExtent l="0" t="0" r="9525" b="18415"/>
            <wp:docPr id="871031295" name="Chart 1">
              <a:extLst xmlns:a="http://schemas.openxmlformats.org/drawingml/2006/main">
                <a:ext uri="{FF2B5EF4-FFF2-40B4-BE49-F238E27FC236}">
                  <a16:creationId xmlns:a16="http://schemas.microsoft.com/office/drawing/2014/main" id="{20CFAB2E-09E0-68A9-53B9-B736502C26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A70F15" w:rsidRPr="00F62980">
        <w:rPr>
          <w:i/>
          <w:sz w:val="20"/>
          <w:szCs w:val="20"/>
        </w:rPr>
        <w:t xml:space="preserve">Figure </w:t>
      </w:r>
      <w:r w:rsidR="00536DE2">
        <w:rPr>
          <w:i/>
          <w:sz w:val="20"/>
          <w:szCs w:val="20"/>
        </w:rPr>
        <w:t>1</w:t>
      </w:r>
      <w:r w:rsidR="00A70F15" w:rsidRPr="00F62980">
        <w:rPr>
          <w:i/>
          <w:sz w:val="20"/>
          <w:szCs w:val="20"/>
        </w:rPr>
        <w:t>: Estimated overnight trips</w:t>
      </w:r>
      <w:r w:rsidR="000C7CE8" w:rsidRPr="00F62980">
        <w:rPr>
          <w:i/>
          <w:sz w:val="20"/>
          <w:szCs w:val="20"/>
        </w:rPr>
        <w:t>, nights</w:t>
      </w:r>
      <w:r w:rsidR="00A70F15" w:rsidRPr="00F62980">
        <w:rPr>
          <w:i/>
          <w:sz w:val="20"/>
          <w:szCs w:val="20"/>
        </w:rPr>
        <w:t xml:space="preserve"> and expenditure in Armagh City, Banbridge and Craigavon Borough 201</w:t>
      </w:r>
      <w:r w:rsidR="0028067A" w:rsidRPr="00F62980">
        <w:rPr>
          <w:i/>
          <w:sz w:val="20"/>
          <w:szCs w:val="20"/>
        </w:rPr>
        <w:t>3</w:t>
      </w:r>
      <w:r w:rsidR="00A70F15" w:rsidRPr="00F62980">
        <w:rPr>
          <w:i/>
          <w:sz w:val="20"/>
          <w:szCs w:val="20"/>
        </w:rPr>
        <w:t xml:space="preserve"> to 20</w:t>
      </w:r>
      <w:r w:rsidR="007E045D">
        <w:rPr>
          <w:i/>
          <w:sz w:val="20"/>
          <w:szCs w:val="20"/>
        </w:rPr>
        <w:t>23</w:t>
      </w:r>
      <w:r w:rsidR="00A70F15" w:rsidRPr="00F62980">
        <w:rPr>
          <w:i/>
          <w:sz w:val="20"/>
          <w:szCs w:val="20"/>
        </w:rPr>
        <w:t>. Source: Tourism Statistics, NISRA.</w:t>
      </w:r>
    </w:p>
    <w:p w14:paraId="094AF6BD" w14:textId="199A8F0A" w:rsidR="00E81E87" w:rsidRPr="002E05CA" w:rsidRDefault="00FA69EF" w:rsidP="00381E1E">
      <w:r>
        <w:lastRenderedPageBreak/>
        <w:t>In 2023</w:t>
      </w:r>
      <w:r w:rsidR="00381E1E" w:rsidRPr="00335F6B">
        <w:t xml:space="preserve"> </w:t>
      </w:r>
      <w:proofErr w:type="gramStart"/>
      <w:r w:rsidR="00381E1E" w:rsidRPr="00335F6B">
        <w:t>the majority of</w:t>
      </w:r>
      <w:proofErr w:type="gramEnd"/>
      <w:r w:rsidR="00381E1E" w:rsidRPr="00335F6B">
        <w:t xml:space="preserve"> </w:t>
      </w:r>
      <w:r w:rsidR="004B5004" w:rsidRPr="00335F6B">
        <w:t>overnight trips</w:t>
      </w:r>
      <w:r w:rsidR="00381E1E" w:rsidRPr="00335F6B">
        <w:t xml:space="preserve"> to the </w:t>
      </w:r>
      <w:r w:rsidR="00FC7244">
        <w:t>B</w:t>
      </w:r>
      <w:r w:rsidR="00381E1E" w:rsidRPr="00335F6B">
        <w:t xml:space="preserve">orough were </w:t>
      </w:r>
      <w:r w:rsidR="004B5004" w:rsidRPr="00335F6B">
        <w:t>to visit</w:t>
      </w:r>
      <w:r w:rsidR="00443336" w:rsidRPr="00335F6B">
        <w:t xml:space="preserve"> friends and relatives (</w:t>
      </w:r>
      <w:r>
        <w:t>57</w:t>
      </w:r>
      <w:r w:rsidR="00381E1E" w:rsidRPr="00335F6B">
        <w:t>%)</w:t>
      </w:r>
      <w:r w:rsidR="002E05CA">
        <w:t xml:space="preserve"> while a</w:t>
      </w:r>
      <w:r>
        <w:t>pproximately one third</w:t>
      </w:r>
      <w:r w:rsidR="004B5004" w:rsidRPr="00335F6B">
        <w:t xml:space="preserve"> </w:t>
      </w:r>
      <w:r w:rsidR="002E05CA">
        <w:t xml:space="preserve">of </w:t>
      </w:r>
      <w:r w:rsidR="00A0792D" w:rsidRPr="00335F6B">
        <w:t>overnight trips to</w:t>
      </w:r>
      <w:r w:rsidR="004B5004" w:rsidRPr="00335F6B">
        <w:t xml:space="preserve"> the </w:t>
      </w:r>
      <w:r w:rsidR="00FC7244">
        <w:t>B</w:t>
      </w:r>
      <w:r w:rsidR="004B5004" w:rsidRPr="00335F6B">
        <w:t>orough</w:t>
      </w:r>
      <w:r w:rsidR="00A0792D" w:rsidRPr="00335F6B">
        <w:t xml:space="preserve"> were</w:t>
      </w:r>
      <w:r w:rsidR="004B5004" w:rsidRPr="00335F6B">
        <w:t xml:space="preserve"> for holiday / pleasure / leisure purposes (</w:t>
      </w:r>
      <w:r w:rsidR="002E05CA">
        <w:t>33</w:t>
      </w:r>
      <w:r w:rsidR="004B5004" w:rsidRPr="00335F6B">
        <w:t xml:space="preserve">%). </w:t>
      </w:r>
      <w:r w:rsidR="002E05CA">
        <w:t xml:space="preserve"> Approximately 10% of overnight trips to the Borough in 2023 were</w:t>
      </w:r>
      <w:r w:rsidR="00443336" w:rsidRPr="00335F6B">
        <w:t xml:space="preserve"> for business</w:t>
      </w:r>
      <w:r w:rsidR="002E05CA">
        <w:t xml:space="preserve"> purposes.  </w:t>
      </w:r>
      <w:r w:rsidR="00543353" w:rsidRPr="00335F6B">
        <w:t>In Northern Ireland</w:t>
      </w:r>
      <w:r w:rsidR="002E05CA">
        <w:t xml:space="preserve"> overall</w:t>
      </w:r>
      <w:r w:rsidR="00543353" w:rsidRPr="00335F6B">
        <w:t xml:space="preserve">, </w:t>
      </w:r>
      <w:r w:rsidR="002E05CA">
        <w:t xml:space="preserve">just over half of all </w:t>
      </w:r>
      <w:r w:rsidR="00543353" w:rsidRPr="00335F6B">
        <w:t xml:space="preserve">overnight trips are for </w:t>
      </w:r>
      <w:r w:rsidR="00335F6B">
        <w:t>holiday / pleasure / leisure (5</w:t>
      </w:r>
      <w:r w:rsidR="002E05CA">
        <w:t>1</w:t>
      </w:r>
      <w:r w:rsidR="00543353" w:rsidRPr="00335F6B">
        <w:t>%), while a lower proportion are for vi</w:t>
      </w:r>
      <w:r w:rsidR="00335F6B">
        <w:t>siting friends and relatives, 3</w:t>
      </w:r>
      <w:r w:rsidR="002E05CA">
        <w:t>8</w:t>
      </w:r>
      <w:r w:rsidR="00543353" w:rsidRPr="00335F6B">
        <w:t xml:space="preserve">% in Northern Ireland compared to </w:t>
      </w:r>
      <w:r w:rsidR="002E05CA">
        <w:t>57</w:t>
      </w:r>
      <w:r w:rsidR="00543353" w:rsidRPr="00335F6B">
        <w:t>% in the borough.</w:t>
      </w:r>
    </w:p>
    <w:tbl>
      <w:tblPr>
        <w:tblStyle w:val="GridTable1Light"/>
        <w:tblW w:w="9600" w:type="dxa"/>
        <w:tblLayout w:type="fixed"/>
        <w:tblLook w:val="04A0" w:firstRow="1" w:lastRow="0" w:firstColumn="1" w:lastColumn="0" w:noHBand="0" w:noVBand="1"/>
        <w:tblCaption w:val="Estimated average overnight trips in Armagh City, Banbridge and Craigavon Borough and Northern Ireland by reason for visit, 3-year average 2017-2019"/>
      </w:tblPr>
      <w:tblGrid>
        <w:gridCol w:w="2977"/>
        <w:gridCol w:w="1655"/>
        <w:gridCol w:w="1656"/>
        <w:gridCol w:w="1656"/>
        <w:gridCol w:w="1656"/>
      </w:tblGrid>
      <w:tr w:rsidR="00E81E87" w:rsidRPr="00E81E87" w14:paraId="6ECA5E1B" w14:textId="77777777" w:rsidTr="00FE3693">
        <w:trPr>
          <w:cnfStyle w:val="100000000000" w:firstRow="1" w:lastRow="0" w:firstColumn="0" w:lastColumn="0" w:oddVBand="0" w:evenVBand="0" w:oddHBand="0" w:evenHBand="0" w:firstRowFirstColumn="0" w:firstRowLastColumn="0" w:lastRowFirstColumn="0" w:lastRowLastColumn="0"/>
          <w:trHeight w:val="600"/>
          <w:tblHeader/>
        </w:trPr>
        <w:tc>
          <w:tcPr>
            <w:cnfStyle w:val="001000000000" w:firstRow="0" w:lastRow="0" w:firstColumn="1" w:lastColumn="0" w:oddVBand="0" w:evenVBand="0" w:oddHBand="0" w:evenHBand="0" w:firstRowFirstColumn="0" w:firstRowLastColumn="0" w:lastRowFirstColumn="0" w:lastRowLastColumn="0"/>
            <w:tcW w:w="2977" w:type="dxa"/>
            <w:vMerge w:val="restart"/>
            <w:hideMark/>
          </w:tcPr>
          <w:p w14:paraId="1BE8548E" w14:textId="77777777" w:rsidR="00E81E87" w:rsidRPr="00E81E87" w:rsidRDefault="00E81E87" w:rsidP="00E81E87">
            <w:pPr>
              <w:rPr>
                <w:rFonts w:ascii="Calibri" w:eastAsia="Times New Roman" w:hAnsi="Calibri" w:cs="Calibri"/>
                <w:lang w:eastAsia="en-GB"/>
              </w:rPr>
            </w:pPr>
            <w:r w:rsidRPr="00E81E87">
              <w:rPr>
                <w:rFonts w:ascii="Calibri" w:eastAsia="Times New Roman" w:hAnsi="Calibri" w:cs="Calibri"/>
                <w:lang w:eastAsia="en-GB"/>
              </w:rPr>
              <w:t> </w:t>
            </w:r>
          </w:p>
        </w:tc>
        <w:tc>
          <w:tcPr>
            <w:tcW w:w="3311" w:type="dxa"/>
            <w:gridSpan w:val="2"/>
            <w:hideMark/>
          </w:tcPr>
          <w:p w14:paraId="3B007F49" w14:textId="77777777" w:rsidR="00E81E87" w:rsidRPr="00E81E87" w:rsidRDefault="00E81E87" w:rsidP="00E81E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81E87">
              <w:rPr>
                <w:rFonts w:ascii="Calibri" w:eastAsia="Times New Roman" w:hAnsi="Calibri" w:cs="Calibri"/>
                <w:lang w:eastAsia="en-GB"/>
              </w:rPr>
              <w:t>Armagh City, Banbridge and Craigavon</w:t>
            </w:r>
          </w:p>
        </w:tc>
        <w:tc>
          <w:tcPr>
            <w:tcW w:w="3312" w:type="dxa"/>
            <w:gridSpan w:val="2"/>
            <w:hideMark/>
          </w:tcPr>
          <w:p w14:paraId="1D1FFA19" w14:textId="77777777" w:rsidR="00E81E87" w:rsidRPr="00E81E87" w:rsidRDefault="00E81E87" w:rsidP="00E81E8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E81E87">
              <w:rPr>
                <w:rFonts w:ascii="Calibri" w:eastAsia="Times New Roman" w:hAnsi="Calibri" w:cs="Calibri"/>
                <w:lang w:eastAsia="en-GB"/>
              </w:rPr>
              <w:t>Northern Ireland</w:t>
            </w:r>
          </w:p>
        </w:tc>
      </w:tr>
      <w:tr w:rsidR="00E81E87" w:rsidRPr="00E81E87" w14:paraId="3D648A2E" w14:textId="77777777" w:rsidTr="00E81E87">
        <w:trPr>
          <w:trHeight w:val="300"/>
        </w:trPr>
        <w:tc>
          <w:tcPr>
            <w:cnfStyle w:val="001000000000" w:firstRow="0" w:lastRow="0" w:firstColumn="1" w:lastColumn="0" w:oddVBand="0" w:evenVBand="0" w:oddHBand="0" w:evenHBand="0" w:firstRowFirstColumn="0" w:firstRowLastColumn="0" w:lastRowFirstColumn="0" w:lastRowLastColumn="0"/>
            <w:tcW w:w="2977" w:type="dxa"/>
            <w:vMerge/>
            <w:hideMark/>
          </w:tcPr>
          <w:p w14:paraId="64892785" w14:textId="77777777" w:rsidR="00E81E87" w:rsidRPr="00E81E87" w:rsidRDefault="00E81E87" w:rsidP="00E81E87">
            <w:pPr>
              <w:rPr>
                <w:rFonts w:ascii="Calibri" w:eastAsia="Times New Roman" w:hAnsi="Calibri" w:cs="Calibri"/>
                <w:lang w:eastAsia="en-GB"/>
              </w:rPr>
            </w:pPr>
          </w:p>
        </w:tc>
        <w:tc>
          <w:tcPr>
            <w:tcW w:w="1655" w:type="dxa"/>
            <w:hideMark/>
          </w:tcPr>
          <w:p w14:paraId="7CBE00F0" w14:textId="77777777" w:rsidR="00E81E87" w:rsidRPr="00E81E87" w:rsidRDefault="00E81E87" w:rsidP="00E81E8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E81E87">
              <w:rPr>
                <w:rFonts w:ascii="Calibri" w:eastAsia="Times New Roman" w:hAnsi="Calibri" w:cs="Calibri"/>
                <w:b/>
                <w:bCs/>
                <w:lang w:eastAsia="en-GB"/>
              </w:rPr>
              <w:t>Number</w:t>
            </w:r>
          </w:p>
        </w:tc>
        <w:tc>
          <w:tcPr>
            <w:tcW w:w="1656" w:type="dxa"/>
            <w:hideMark/>
          </w:tcPr>
          <w:p w14:paraId="2036FF69" w14:textId="77777777" w:rsidR="00E81E87" w:rsidRPr="00E81E87" w:rsidRDefault="00E81E87" w:rsidP="00E81E8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E81E87">
              <w:rPr>
                <w:rFonts w:ascii="Calibri" w:eastAsia="Times New Roman" w:hAnsi="Calibri" w:cs="Calibri"/>
                <w:b/>
                <w:bCs/>
                <w:lang w:eastAsia="en-GB"/>
              </w:rPr>
              <w:t>%</w:t>
            </w:r>
          </w:p>
        </w:tc>
        <w:tc>
          <w:tcPr>
            <w:tcW w:w="1656" w:type="dxa"/>
            <w:hideMark/>
          </w:tcPr>
          <w:p w14:paraId="78F11B4F" w14:textId="77777777" w:rsidR="00E81E87" w:rsidRPr="00E81E87" w:rsidRDefault="00E81E87" w:rsidP="00E81E8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E81E87">
              <w:rPr>
                <w:rFonts w:ascii="Calibri" w:eastAsia="Times New Roman" w:hAnsi="Calibri" w:cs="Calibri"/>
                <w:b/>
                <w:bCs/>
                <w:lang w:eastAsia="en-GB"/>
              </w:rPr>
              <w:t>Number</w:t>
            </w:r>
          </w:p>
        </w:tc>
        <w:tc>
          <w:tcPr>
            <w:tcW w:w="1656" w:type="dxa"/>
            <w:hideMark/>
          </w:tcPr>
          <w:p w14:paraId="54B1A06E" w14:textId="77777777" w:rsidR="00E81E87" w:rsidRPr="00E81E87" w:rsidRDefault="00E81E87" w:rsidP="00E81E8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E81E87">
              <w:rPr>
                <w:rFonts w:ascii="Calibri" w:eastAsia="Times New Roman" w:hAnsi="Calibri" w:cs="Calibri"/>
                <w:b/>
                <w:bCs/>
                <w:lang w:eastAsia="en-GB"/>
              </w:rPr>
              <w:t>%</w:t>
            </w:r>
          </w:p>
        </w:tc>
      </w:tr>
      <w:tr w:rsidR="00FC7244" w:rsidRPr="00E81E87" w14:paraId="1FE64348" w14:textId="77777777" w:rsidTr="0019621A">
        <w:trPr>
          <w:trHeight w:val="30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5515E7F8" w14:textId="77777777" w:rsidR="00FC7244" w:rsidRPr="00E81E87" w:rsidRDefault="00FC7244" w:rsidP="00FC7244">
            <w:pPr>
              <w:rPr>
                <w:rFonts w:ascii="Calibri" w:eastAsia="Times New Roman" w:hAnsi="Calibri" w:cs="Calibri"/>
                <w:lang w:eastAsia="en-GB"/>
              </w:rPr>
            </w:pPr>
            <w:r w:rsidRPr="00E81E87">
              <w:rPr>
                <w:rFonts w:ascii="Calibri" w:eastAsia="Times New Roman" w:hAnsi="Calibri" w:cs="Calibri"/>
                <w:lang w:eastAsia="en-GB"/>
              </w:rPr>
              <w:t>Holiday / Pleasure / Leisure</w:t>
            </w:r>
          </w:p>
        </w:tc>
        <w:tc>
          <w:tcPr>
            <w:tcW w:w="1655" w:type="dxa"/>
            <w:noWrap/>
            <w:vAlign w:val="center"/>
            <w:hideMark/>
          </w:tcPr>
          <w:p w14:paraId="4470E617" w14:textId="43CC95FF" w:rsidR="00FC7244" w:rsidRPr="00E81E87" w:rsidRDefault="00FC7244" w:rsidP="00FC7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61,740</w:t>
            </w:r>
          </w:p>
        </w:tc>
        <w:tc>
          <w:tcPr>
            <w:tcW w:w="1656" w:type="dxa"/>
            <w:noWrap/>
            <w:vAlign w:val="center"/>
            <w:hideMark/>
          </w:tcPr>
          <w:p w14:paraId="3A37E7C2" w14:textId="00327811" w:rsidR="00FC7244" w:rsidRPr="00E81E87" w:rsidRDefault="00FC7244" w:rsidP="00FC7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33%</w:t>
            </w:r>
          </w:p>
        </w:tc>
        <w:tc>
          <w:tcPr>
            <w:tcW w:w="1656" w:type="dxa"/>
            <w:noWrap/>
            <w:vAlign w:val="center"/>
            <w:hideMark/>
          </w:tcPr>
          <w:p w14:paraId="0DC2CA6E" w14:textId="26392839" w:rsidR="00FC7244" w:rsidRPr="00E81E87" w:rsidRDefault="00FC7244" w:rsidP="00FC7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2,804,596</w:t>
            </w:r>
          </w:p>
        </w:tc>
        <w:tc>
          <w:tcPr>
            <w:tcW w:w="1656" w:type="dxa"/>
            <w:noWrap/>
            <w:vAlign w:val="center"/>
            <w:hideMark/>
          </w:tcPr>
          <w:p w14:paraId="04DCA658" w14:textId="271FC279" w:rsidR="00FC7244" w:rsidRPr="00E81E87" w:rsidRDefault="00FC7244" w:rsidP="00FC7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51%</w:t>
            </w:r>
          </w:p>
        </w:tc>
      </w:tr>
      <w:tr w:rsidR="00FC7244" w:rsidRPr="00E81E87" w14:paraId="238ED4CB" w14:textId="77777777" w:rsidTr="0019621A">
        <w:trPr>
          <w:trHeight w:val="30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5FAFD54E" w14:textId="77777777" w:rsidR="00FC7244" w:rsidRPr="00E81E87" w:rsidRDefault="00FC7244" w:rsidP="00FC7244">
            <w:pPr>
              <w:rPr>
                <w:rFonts w:ascii="Calibri" w:eastAsia="Times New Roman" w:hAnsi="Calibri" w:cs="Calibri"/>
                <w:lang w:eastAsia="en-GB"/>
              </w:rPr>
            </w:pPr>
            <w:r w:rsidRPr="00E81E87">
              <w:rPr>
                <w:rFonts w:ascii="Calibri" w:eastAsia="Times New Roman" w:hAnsi="Calibri" w:cs="Calibri"/>
                <w:lang w:eastAsia="en-GB"/>
              </w:rPr>
              <w:t>Visiting Friends and Relatives</w:t>
            </w:r>
          </w:p>
        </w:tc>
        <w:tc>
          <w:tcPr>
            <w:tcW w:w="1655" w:type="dxa"/>
            <w:noWrap/>
            <w:vAlign w:val="center"/>
            <w:hideMark/>
          </w:tcPr>
          <w:p w14:paraId="7796FB5B" w14:textId="71C49F3C" w:rsidR="00FC7244" w:rsidRPr="00E81E87" w:rsidRDefault="00FC7244" w:rsidP="00FC7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108,141</w:t>
            </w:r>
          </w:p>
        </w:tc>
        <w:tc>
          <w:tcPr>
            <w:tcW w:w="1656" w:type="dxa"/>
            <w:noWrap/>
            <w:vAlign w:val="center"/>
            <w:hideMark/>
          </w:tcPr>
          <w:p w14:paraId="7635D315" w14:textId="50E14D02" w:rsidR="00FC7244" w:rsidRPr="00E81E87" w:rsidRDefault="00FC7244" w:rsidP="00FC7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57%</w:t>
            </w:r>
          </w:p>
        </w:tc>
        <w:tc>
          <w:tcPr>
            <w:tcW w:w="1656" w:type="dxa"/>
            <w:noWrap/>
            <w:vAlign w:val="center"/>
            <w:hideMark/>
          </w:tcPr>
          <w:p w14:paraId="09EFC4BE" w14:textId="2E0F1B0B" w:rsidR="00FC7244" w:rsidRPr="00E81E87" w:rsidRDefault="00FC7244" w:rsidP="00FC7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2,059,570</w:t>
            </w:r>
          </w:p>
        </w:tc>
        <w:tc>
          <w:tcPr>
            <w:tcW w:w="1656" w:type="dxa"/>
            <w:noWrap/>
            <w:vAlign w:val="center"/>
            <w:hideMark/>
          </w:tcPr>
          <w:p w14:paraId="4E5B6718" w14:textId="0CCE3124" w:rsidR="00FC7244" w:rsidRPr="00E81E87" w:rsidRDefault="00FC7244" w:rsidP="00FC7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38%</w:t>
            </w:r>
          </w:p>
        </w:tc>
      </w:tr>
      <w:tr w:rsidR="00FC7244" w:rsidRPr="00E81E87" w14:paraId="75E352F9" w14:textId="77777777" w:rsidTr="0019621A">
        <w:trPr>
          <w:trHeight w:val="30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398637C1" w14:textId="77777777" w:rsidR="00FC7244" w:rsidRPr="00E81E87" w:rsidRDefault="00FC7244" w:rsidP="00FC7244">
            <w:pPr>
              <w:rPr>
                <w:rFonts w:ascii="Calibri" w:eastAsia="Times New Roman" w:hAnsi="Calibri" w:cs="Calibri"/>
                <w:lang w:eastAsia="en-GB"/>
              </w:rPr>
            </w:pPr>
            <w:r w:rsidRPr="00E81E87">
              <w:rPr>
                <w:rFonts w:ascii="Calibri" w:eastAsia="Times New Roman" w:hAnsi="Calibri" w:cs="Calibri"/>
                <w:lang w:eastAsia="en-GB"/>
              </w:rPr>
              <w:t>Business</w:t>
            </w:r>
          </w:p>
        </w:tc>
        <w:tc>
          <w:tcPr>
            <w:tcW w:w="1655" w:type="dxa"/>
            <w:noWrap/>
            <w:vAlign w:val="center"/>
            <w:hideMark/>
          </w:tcPr>
          <w:p w14:paraId="6D15AFF1" w14:textId="77FD02C1" w:rsidR="00FC7244" w:rsidRPr="00E81E87" w:rsidRDefault="00FC7244" w:rsidP="00FC7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18,486</w:t>
            </w:r>
          </w:p>
        </w:tc>
        <w:tc>
          <w:tcPr>
            <w:tcW w:w="1656" w:type="dxa"/>
            <w:noWrap/>
            <w:vAlign w:val="center"/>
            <w:hideMark/>
          </w:tcPr>
          <w:p w14:paraId="740B9FAB" w14:textId="2F17D336" w:rsidR="00FC7244" w:rsidRPr="00E81E87" w:rsidRDefault="00FC7244" w:rsidP="00FC7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10%</w:t>
            </w:r>
          </w:p>
        </w:tc>
        <w:tc>
          <w:tcPr>
            <w:tcW w:w="1656" w:type="dxa"/>
            <w:noWrap/>
            <w:vAlign w:val="center"/>
            <w:hideMark/>
          </w:tcPr>
          <w:p w14:paraId="7CF94B58" w14:textId="080D53EF" w:rsidR="00FC7244" w:rsidRPr="00E81E87" w:rsidRDefault="00FC7244" w:rsidP="00FC7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585,463</w:t>
            </w:r>
          </w:p>
        </w:tc>
        <w:tc>
          <w:tcPr>
            <w:tcW w:w="1656" w:type="dxa"/>
            <w:noWrap/>
            <w:vAlign w:val="center"/>
            <w:hideMark/>
          </w:tcPr>
          <w:p w14:paraId="02CC624A" w14:textId="4532D8F7" w:rsidR="00FC7244" w:rsidRPr="00E81E87" w:rsidRDefault="00FC7244" w:rsidP="00FC7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11%</w:t>
            </w:r>
          </w:p>
        </w:tc>
      </w:tr>
      <w:tr w:rsidR="00FC7244" w:rsidRPr="00E81E87" w14:paraId="313A69EF" w14:textId="77777777" w:rsidTr="0019621A">
        <w:trPr>
          <w:trHeight w:val="300"/>
        </w:trPr>
        <w:tc>
          <w:tcPr>
            <w:cnfStyle w:val="001000000000" w:firstRow="0" w:lastRow="0" w:firstColumn="1" w:lastColumn="0" w:oddVBand="0" w:evenVBand="0" w:oddHBand="0" w:evenHBand="0" w:firstRowFirstColumn="0" w:firstRowLastColumn="0" w:lastRowFirstColumn="0" w:lastRowLastColumn="0"/>
            <w:tcW w:w="2977" w:type="dxa"/>
            <w:noWrap/>
            <w:hideMark/>
          </w:tcPr>
          <w:p w14:paraId="6ED49268" w14:textId="77777777" w:rsidR="00FC7244" w:rsidRPr="00E81E87" w:rsidRDefault="00FC7244" w:rsidP="00FC7244">
            <w:pPr>
              <w:rPr>
                <w:rFonts w:ascii="Calibri" w:eastAsia="Times New Roman" w:hAnsi="Calibri" w:cs="Calibri"/>
                <w:lang w:eastAsia="en-GB"/>
              </w:rPr>
            </w:pPr>
            <w:r w:rsidRPr="00E81E87">
              <w:rPr>
                <w:rFonts w:ascii="Calibri" w:eastAsia="Times New Roman" w:hAnsi="Calibri" w:cs="Calibri"/>
                <w:lang w:eastAsia="en-GB"/>
              </w:rPr>
              <w:t>All</w:t>
            </w:r>
          </w:p>
        </w:tc>
        <w:tc>
          <w:tcPr>
            <w:tcW w:w="1655" w:type="dxa"/>
            <w:noWrap/>
            <w:vAlign w:val="center"/>
            <w:hideMark/>
          </w:tcPr>
          <w:p w14:paraId="6C019F02" w14:textId="6718E5BE" w:rsidR="00FC7244" w:rsidRPr="00E81E87" w:rsidRDefault="00FC7244" w:rsidP="00FC7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188,367</w:t>
            </w:r>
          </w:p>
        </w:tc>
        <w:tc>
          <w:tcPr>
            <w:tcW w:w="1656" w:type="dxa"/>
            <w:noWrap/>
            <w:vAlign w:val="center"/>
            <w:hideMark/>
          </w:tcPr>
          <w:p w14:paraId="153DFA0E" w14:textId="4B247982" w:rsidR="00FC7244" w:rsidRPr="00E81E87" w:rsidRDefault="00FC7244" w:rsidP="00FC7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100%</w:t>
            </w:r>
          </w:p>
        </w:tc>
        <w:tc>
          <w:tcPr>
            <w:tcW w:w="1656" w:type="dxa"/>
            <w:noWrap/>
            <w:vAlign w:val="center"/>
            <w:hideMark/>
          </w:tcPr>
          <w:p w14:paraId="05AE94FA" w14:textId="75560C00" w:rsidR="00FC7244" w:rsidRPr="00E81E87" w:rsidRDefault="00FC7244" w:rsidP="00FC7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5,449,629</w:t>
            </w:r>
          </w:p>
        </w:tc>
        <w:tc>
          <w:tcPr>
            <w:tcW w:w="1656" w:type="dxa"/>
            <w:noWrap/>
            <w:vAlign w:val="center"/>
            <w:hideMark/>
          </w:tcPr>
          <w:p w14:paraId="1595DC8A" w14:textId="78B782F2" w:rsidR="00FC7244" w:rsidRPr="00E81E87" w:rsidRDefault="00FC7244" w:rsidP="00FC724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100%</w:t>
            </w:r>
          </w:p>
        </w:tc>
      </w:tr>
    </w:tbl>
    <w:p w14:paraId="28FEBA76" w14:textId="621C863A" w:rsidR="004B5004" w:rsidRDefault="004B5004" w:rsidP="00F14B8F">
      <w:pPr>
        <w:rPr>
          <w:i/>
          <w:sz w:val="20"/>
          <w:szCs w:val="20"/>
        </w:rPr>
      </w:pPr>
      <w:r w:rsidRPr="00443336">
        <w:rPr>
          <w:i/>
          <w:sz w:val="20"/>
          <w:szCs w:val="20"/>
        </w:rPr>
        <w:t xml:space="preserve">Table </w:t>
      </w:r>
      <w:r w:rsidR="00536DE2">
        <w:rPr>
          <w:i/>
          <w:sz w:val="20"/>
          <w:szCs w:val="20"/>
        </w:rPr>
        <w:t>2</w:t>
      </w:r>
      <w:r w:rsidRPr="00443336">
        <w:rPr>
          <w:i/>
          <w:sz w:val="20"/>
          <w:szCs w:val="20"/>
        </w:rPr>
        <w:t xml:space="preserve">: Estimated </w:t>
      </w:r>
      <w:r w:rsidR="00FA69EF">
        <w:rPr>
          <w:i/>
          <w:sz w:val="20"/>
          <w:szCs w:val="20"/>
        </w:rPr>
        <w:t>no. of</w:t>
      </w:r>
      <w:r w:rsidRPr="00443336">
        <w:rPr>
          <w:i/>
          <w:sz w:val="20"/>
          <w:szCs w:val="20"/>
        </w:rPr>
        <w:t xml:space="preserve"> overnight trips in Armagh City, Banbridge and Craigavon Borough</w:t>
      </w:r>
      <w:r w:rsidR="00F14B8F" w:rsidRPr="00443336">
        <w:rPr>
          <w:i/>
          <w:sz w:val="20"/>
          <w:szCs w:val="20"/>
        </w:rPr>
        <w:t xml:space="preserve"> and Northern Ireland</w:t>
      </w:r>
      <w:r w:rsidRPr="00443336">
        <w:rPr>
          <w:i/>
          <w:sz w:val="20"/>
          <w:szCs w:val="20"/>
        </w:rPr>
        <w:t xml:space="preserve"> by reason for visit, </w:t>
      </w:r>
      <w:r w:rsidR="00FA69EF">
        <w:rPr>
          <w:i/>
          <w:sz w:val="20"/>
          <w:szCs w:val="20"/>
        </w:rPr>
        <w:t>2023</w:t>
      </w:r>
      <w:r w:rsidRPr="00443336">
        <w:rPr>
          <w:i/>
          <w:sz w:val="20"/>
          <w:szCs w:val="20"/>
        </w:rPr>
        <w:t>. Source: Tourism Statistics, NISRA.</w:t>
      </w:r>
      <w:r w:rsidR="004B5682" w:rsidRPr="00443336">
        <w:rPr>
          <w:i/>
          <w:sz w:val="20"/>
          <w:szCs w:val="20"/>
        </w:rPr>
        <w:t xml:space="preserve"> </w:t>
      </w:r>
    </w:p>
    <w:p w14:paraId="4F440307" w14:textId="77777777" w:rsidR="00FE02BE" w:rsidRDefault="00FE02BE" w:rsidP="00F14B8F">
      <w:pPr>
        <w:rPr>
          <w:i/>
          <w:sz w:val="20"/>
          <w:szCs w:val="20"/>
        </w:rPr>
      </w:pPr>
    </w:p>
    <w:p w14:paraId="7F350C4A" w14:textId="647D3737" w:rsidR="0079173A" w:rsidRDefault="002E05CA" w:rsidP="0079173A">
      <w:pPr>
        <w:rPr>
          <w:i/>
          <w:sz w:val="20"/>
          <w:szCs w:val="20"/>
        </w:rPr>
      </w:pPr>
      <w:r>
        <w:rPr>
          <w:noProof/>
        </w:rPr>
        <w:drawing>
          <wp:inline distT="0" distB="0" distL="0" distR="0" wp14:anchorId="64363184" wp14:editId="43D57E9F">
            <wp:extent cx="5848350" cy="3009900"/>
            <wp:effectExtent l="0" t="0" r="0" b="0"/>
            <wp:docPr id="601483137" name="Chart 1">
              <a:extLst xmlns:a="http://schemas.openxmlformats.org/drawingml/2006/main">
                <a:ext uri="{FF2B5EF4-FFF2-40B4-BE49-F238E27FC236}">
                  <a16:creationId xmlns:a16="http://schemas.microsoft.com/office/drawing/2014/main" id="{7F200DE1-B492-9B15-2908-F7226D739B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79173A" w:rsidRPr="00FE02BE">
        <w:rPr>
          <w:i/>
          <w:sz w:val="20"/>
          <w:szCs w:val="20"/>
        </w:rPr>
        <w:t xml:space="preserve">Figure </w:t>
      </w:r>
      <w:r w:rsidR="00536DE2">
        <w:rPr>
          <w:i/>
          <w:sz w:val="20"/>
          <w:szCs w:val="20"/>
        </w:rPr>
        <w:t>2</w:t>
      </w:r>
      <w:r w:rsidR="0079173A" w:rsidRPr="00FE02BE">
        <w:rPr>
          <w:i/>
          <w:sz w:val="20"/>
          <w:szCs w:val="20"/>
        </w:rPr>
        <w:t>: Estimated average overnight trips in Armagh City, Banbridge and Craigavon Borough</w:t>
      </w:r>
      <w:r w:rsidR="0028067A" w:rsidRPr="00FE02BE">
        <w:rPr>
          <w:i/>
          <w:sz w:val="20"/>
          <w:szCs w:val="20"/>
        </w:rPr>
        <w:t xml:space="preserve"> and Northern Ireland</w:t>
      </w:r>
      <w:r w:rsidR="0079173A" w:rsidRPr="00FE02BE">
        <w:rPr>
          <w:i/>
          <w:sz w:val="20"/>
          <w:szCs w:val="20"/>
        </w:rPr>
        <w:t xml:space="preserve"> by reaso</w:t>
      </w:r>
      <w:r w:rsidR="00FE02BE" w:rsidRPr="00FE02BE">
        <w:rPr>
          <w:i/>
          <w:sz w:val="20"/>
          <w:szCs w:val="20"/>
        </w:rPr>
        <w:t xml:space="preserve">n for visit, </w:t>
      </w:r>
      <w:r>
        <w:rPr>
          <w:i/>
          <w:sz w:val="20"/>
          <w:szCs w:val="20"/>
        </w:rPr>
        <w:t>2023</w:t>
      </w:r>
      <w:r w:rsidR="0079173A" w:rsidRPr="00FE02BE">
        <w:rPr>
          <w:i/>
          <w:sz w:val="20"/>
          <w:szCs w:val="20"/>
        </w:rPr>
        <w:t>. Source: Tourism Statistics, NISRA.</w:t>
      </w:r>
    </w:p>
    <w:p w14:paraId="581F9AAA" w14:textId="77777777" w:rsidR="00201EBB" w:rsidRDefault="00201EBB" w:rsidP="0079173A">
      <w:pPr>
        <w:rPr>
          <w:i/>
          <w:sz w:val="20"/>
          <w:szCs w:val="20"/>
        </w:rPr>
      </w:pPr>
    </w:p>
    <w:p w14:paraId="20584268" w14:textId="3A8871F8" w:rsidR="00201EBB" w:rsidRDefault="0054346E" w:rsidP="0079173A">
      <w:pPr>
        <w:rPr>
          <w:iCs/>
        </w:rPr>
      </w:pPr>
      <w:r>
        <w:rPr>
          <w:iCs/>
        </w:rPr>
        <w:t xml:space="preserve">As we have seen, there was an estimated £33.8 million spent in the Borough during overnight trips in 2023.  The table below presents this spend by reason of visit. </w:t>
      </w:r>
      <w:r w:rsidR="00201EBB">
        <w:rPr>
          <w:iCs/>
        </w:rPr>
        <w:t>In Northern Ireland overall, 5</w:t>
      </w:r>
      <w:r w:rsidR="00A33DDD">
        <w:rPr>
          <w:iCs/>
        </w:rPr>
        <w:t>1</w:t>
      </w:r>
      <w:r w:rsidR="00201EBB">
        <w:rPr>
          <w:iCs/>
        </w:rPr>
        <w:t xml:space="preserve">% </w:t>
      </w:r>
      <w:r w:rsidR="00201EBB">
        <w:t xml:space="preserve">of all </w:t>
      </w:r>
      <w:r w:rsidR="00201EBB" w:rsidRPr="00335F6B">
        <w:t xml:space="preserve">overnight trips are for </w:t>
      </w:r>
      <w:r w:rsidR="00201EBB">
        <w:t xml:space="preserve">holiday / pleasure / leisure and the spend associated with these trips’ accounts for 50% of the total spend on overnight trips.  </w:t>
      </w:r>
    </w:p>
    <w:p w14:paraId="65E996E6" w14:textId="245CEC7C" w:rsidR="0054346E" w:rsidRDefault="0054346E" w:rsidP="0079173A">
      <w:pPr>
        <w:rPr>
          <w:iCs/>
        </w:rPr>
      </w:pPr>
      <w:r>
        <w:rPr>
          <w:iCs/>
        </w:rPr>
        <w:t xml:space="preserve">In </w:t>
      </w:r>
      <w:r w:rsidR="00201EBB">
        <w:rPr>
          <w:iCs/>
        </w:rPr>
        <w:t xml:space="preserve">2023 in </w:t>
      </w:r>
      <w:r>
        <w:rPr>
          <w:iCs/>
        </w:rPr>
        <w:t>Armagh City, Banbridge and Craigavon Borough it is estimated that £12.6m was spent by people spending nights in the Borough visiting friends and relatives</w:t>
      </w:r>
      <w:r w:rsidR="00201EBB">
        <w:rPr>
          <w:iCs/>
        </w:rPr>
        <w:t xml:space="preserve">, and while such visitors account for 57% of the total overnight visitors, their spend accounts for just 37% of the total spend.  Those visiting the Borough for business account for 10% of all overnight trips but an estimated total </w:t>
      </w:r>
      <w:proofErr w:type="gramStart"/>
      <w:r w:rsidR="00201EBB">
        <w:rPr>
          <w:iCs/>
        </w:rPr>
        <w:t>spend</w:t>
      </w:r>
      <w:proofErr w:type="gramEnd"/>
      <w:r w:rsidR="00201EBB">
        <w:rPr>
          <w:iCs/>
        </w:rPr>
        <w:t xml:space="preserve"> of £12.2m means those staying overnight on business trips account for 36% of the total spend. </w:t>
      </w:r>
    </w:p>
    <w:p w14:paraId="72862A44" w14:textId="6249AC14" w:rsidR="0054346E" w:rsidRPr="00201EBB" w:rsidRDefault="00201EBB" w:rsidP="00201EBB">
      <w:pPr>
        <w:rPr>
          <w:iCs/>
        </w:rPr>
      </w:pPr>
      <w:r>
        <w:rPr>
          <w:iCs/>
        </w:rPr>
        <w:lastRenderedPageBreak/>
        <w:t xml:space="preserve">Visitors staying overnight in the Borough for holiday / pleasure or leisure purposes spent an estimated £9m in 2023 which accounts for just over a quarter of the total spend during overnight trips. </w:t>
      </w:r>
    </w:p>
    <w:tbl>
      <w:tblPr>
        <w:tblStyle w:val="GridTable1Light"/>
        <w:tblW w:w="9534" w:type="dxa"/>
        <w:tblLayout w:type="fixed"/>
        <w:tblLook w:val="04A0" w:firstRow="1" w:lastRow="0" w:firstColumn="1" w:lastColumn="0" w:noHBand="0" w:noVBand="1"/>
      </w:tblPr>
      <w:tblGrid>
        <w:gridCol w:w="2972"/>
        <w:gridCol w:w="1640"/>
        <w:gridCol w:w="1641"/>
        <w:gridCol w:w="1640"/>
        <w:gridCol w:w="1641"/>
      </w:tblGrid>
      <w:tr w:rsidR="0054346E" w:rsidRPr="0054346E" w14:paraId="37E8F5D9" w14:textId="77777777" w:rsidTr="0054346E">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972" w:type="dxa"/>
            <w:vMerge w:val="restart"/>
            <w:noWrap/>
            <w:hideMark/>
          </w:tcPr>
          <w:p w14:paraId="38EE5100" w14:textId="77777777" w:rsidR="0054346E" w:rsidRPr="0054346E" w:rsidRDefault="0054346E" w:rsidP="0054346E">
            <w:pPr>
              <w:rPr>
                <w:rFonts w:ascii="Calibri" w:eastAsia="Times New Roman" w:hAnsi="Calibri" w:cs="Calibri"/>
                <w:color w:val="000000"/>
                <w:lang w:eastAsia="en-GB"/>
              </w:rPr>
            </w:pPr>
            <w:r w:rsidRPr="0054346E">
              <w:rPr>
                <w:rFonts w:ascii="Calibri" w:eastAsia="Times New Roman" w:hAnsi="Calibri" w:cs="Calibri"/>
                <w:color w:val="000000"/>
                <w:lang w:eastAsia="en-GB"/>
              </w:rPr>
              <w:t> </w:t>
            </w:r>
          </w:p>
        </w:tc>
        <w:tc>
          <w:tcPr>
            <w:tcW w:w="3281" w:type="dxa"/>
            <w:gridSpan w:val="2"/>
            <w:hideMark/>
          </w:tcPr>
          <w:p w14:paraId="29A63B14" w14:textId="77777777" w:rsidR="0054346E" w:rsidRPr="0054346E" w:rsidRDefault="0054346E" w:rsidP="0054346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4346E">
              <w:rPr>
                <w:rFonts w:ascii="Calibri" w:eastAsia="Times New Roman" w:hAnsi="Calibri" w:cs="Calibri"/>
                <w:color w:val="000000"/>
                <w:lang w:eastAsia="en-GB"/>
              </w:rPr>
              <w:t>Armagh City, Banbridge and Craigavon</w:t>
            </w:r>
          </w:p>
        </w:tc>
        <w:tc>
          <w:tcPr>
            <w:tcW w:w="3281" w:type="dxa"/>
            <w:gridSpan w:val="2"/>
            <w:hideMark/>
          </w:tcPr>
          <w:p w14:paraId="69352C14" w14:textId="77777777" w:rsidR="0054346E" w:rsidRPr="0054346E" w:rsidRDefault="0054346E" w:rsidP="0054346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4346E">
              <w:rPr>
                <w:rFonts w:ascii="Calibri" w:eastAsia="Times New Roman" w:hAnsi="Calibri" w:cs="Calibri"/>
                <w:color w:val="000000"/>
                <w:lang w:eastAsia="en-GB"/>
              </w:rPr>
              <w:t>Northern Ireland</w:t>
            </w:r>
          </w:p>
        </w:tc>
      </w:tr>
      <w:tr w:rsidR="0054346E" w:rsidRPr="0054346E" w14:paraId="2AC16BDD" w14:textId="77777777" w:rsidTr="0054346E">
        <w:trPr>
          <w:trHeight w:val="599"/>
        </w:trPr>
        <w:tc>
          <w:tcPr>
            <w:cnfStyle w:val="001000000000" w:firstRow="0" w:lastRow="0" w:firstColumn="1" w:lastColumn="0" w:oddVBand="0" w:evenVBand="0" w:oddHBand="0" w:evenHBand="0" w:firstRowFirstColumn="0" w:firstRowLastColumn="0" w:lastRowFirstColumn="0" w:lastRowLastColumn="0"/>
            <w:tcW w:w="2972" w:type="dxa"/>
            <w:vMerge/>
            <w:hideMark/>
          </w:tcPr>
          <w:p w14:paraId="7F2C65F6" w14:textId="77777777" w:rsidR="0054346E" w:rsidRPr="0054346E" w:rsidRDefault="0054346E" w:rsidP="0054346E">
            <w:pPr>
              <w:rPr>
                <w:rFonts w:ascii="Calibri" w:eastAsia="Times New Roman" w:hAnsi="Calibri" w:cs="Calibri"/>
                <w:color w:val="000000"/>
                <w:lang w:eastAsia="en-GB"/>
              </w:rPr>
            </w:pPr>
          </w:p>
        </w:tc>
        <w:tc>
          <w:tcPr>
            <w:tcW w:w="1640" w:type="dxa"/>
            <w:hideMark/>
          </w:tcPr>
          <w:p w14:paraId="6550904A"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54346E">
              <w:rPr>
                <w:rFonts w:ascii="Calibri" w:eastAsia="Times New Roman" w:hAnsi="Calibri" w:cs="Calibri"/>
                <w:b/>
                <w:bCs/>
                <w:color w:val="000000"/>
                <w:lang w:eastAsia="en-GB"/>
              </w:rPr>
              <w:t>Estimated Spend (£)</w:t>
            </w:r>
          </w:p>
        </w:tc>
        <w:tc>
          <w:tcPr>
            <w:tcW w:w="1641" w:type="dxa"/>
            <w:hideMark/>
          </w:tcPr>
          <w:p w14:paraId="5EBC65E2"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54346E">
              <w:rPr>
                <w:rFonts w:ascii="Calibri" w:eastAsia="Times New Roman" w:hAnsi="Calibri" w:cs="Calibri"/>
                <w:b/>
                <w:bCs/>
                <w:color w:val="000000"/>
                <w:lang w:eastAsia="en-GB"/>
              </w:rPr>
              <w:t>%</w:t>
            </w:r>
          </w:p>
        </w:tc>
        <w:tc>
          <w:tcPr>
            <w:tcW w:w="1640" w:type="dxa"/>
            <w:hideMark/>
          </w:tcPr>
          <w:p w14:paraId="7C9D8ABB"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54346E">
              <w:rPr>
                <w:rFonts w:ascii="Calibri" w:eastAsia="Times New Roman" w:hAnsi="Calibri" w:cs="Calibri"/>
                <w:b/>
                <w:bCs/>
                <w:color w:val="000000"/>
                <w:lang w:eastAsia="en-GB"/>
              </w:rPr>
              <w:t>Estimated Spend (£)</w:t>
            </w:r>
          </w:p>
        </w:tc>
        <w:tc>
          <w:tcPr>
            <w:tcW w:w="1641" w:type="dxa"/>
            <w:hideMark/>
          </w:tcPr>
          <w:p w14:paraId="42E01CE6"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54346E">
              <w:rPr>
                <w:rFonts w:ascii="Calibri" w:eastAsia="Times New Roman" w:hAnsi="Calibri" w:cs="Calibri"/>
                <w:b/>
                <w:bCs/>
                <w:color w:val="000000"/>
                <w:lang w:eastAsia="en-GB"/>
              </w:rPr>
              <w:t>%</w:t>
            </w:r>
          </w:p>
        </w:tc>
      </w:tr>
      <w:tr w:rsidR="00FC7244" w:rsidRPr="0054346E" w14:paraId="0BA886C0" w14:textId="77777777" w:rsidTr="00121B54">
        <w:trPr>
          <w:trHeight w:val="299"/>
        </w:trPr>
        <w:tc>
          <w:tcPr>
            <w:cnfStyle w:val="001000000000" w:firstRow="0" w:lastRow="0" w:firstColumn="1" w:lastColumn="0" w:oddVBand="0" w:evenVBand="0" w:oddHBand="0" w:evenHBand="0" w:firstRowFirstColumn="0" w:firstRowLastColumn="0" w:lastRowFirstColumn="0" w:lastRowLastColumn="0"/>
            <w:tcW w:w="2972" w:type="dxa"/>
            <w:noWrap/>
            <w:hideMark/>
          </w:tcPr>
          <w:p w14:paraId="5953BBA0" w14:textId="77777777" w:rsidR="00FC7244" w:rsidRPr="0054346E" w:rsidRDefault="00FC7244" w:rsidP="00FC7244">
            <w:pPr>
              <w:rPr>
                <w:rFonts w:ascii="Calibri" w:eastAsia="Times New Roman" w:hAnsi="Calibri" w:cs="Calibri"/>
                <w:color w:val="000000"/>
                <w:lang w:eastAsia="en-GB"/>
              </w:rPr>
            </w:pPr>
            <w:r w:rsidRPr="0054346E">
              <w:rPr>
                <w:rFonts w:ascii="Calibri" w:eastAsia="Times New Roman" w:hAnsi="Calibri" w:cs="Calibri"/>
                <w:color w:val="000000"/>
                <w:lang w:eastAsia="en-GB"/>
              </w:rPr>
              <w:t>Holiday / Pleasure / Leisure</w:t>
            </w:r>
          </w:p>
        </w:tc>
        <w:tc>
          <w:tcPr>
            <w:tcW w:w="1640" w:type="dxa"/>
            <w:noWrap/>
            <w:vAlign w:val="center"/>
            <w:hideMark/>
          </w:tcPr>
          <w:p w14:paraId="7C51C7C2" w14:textId="300776FD" w:rsidR="00FC7244" w:rsidRPr="0054346E" w:rsidRDefault="00FC7244" w:rsidP="00FC724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hAnsi="Aptos Narrow"/>
                <w:color w:val="000000"/>
              </w:rPr>
              <w:t>9,049,499</w:t>
            </w:r>
          </w:p>
        </w:tc>
        <w:tc>
          <w:tcPr>
            <w:tcW w:w="1641" w:type="dxa"/>
            <w:noWrap/>
            <w:vAlign w:val="center"/>
            <w:hideMark/>
          </w:tcPr>
          <w:p w14:paraId="68694720" w14:textId="46B15DFE" w:rsidR="00FC7244" w:rsidRPr="0054346E" w:rsidRDefault="00FC7244" w:rsidP="00FC724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hAnsi="Aptos Narrow"/>
                <w:color w:val="000000"/>
              </w:rPr>
              <w:t>27%</w:t>
            </w:r>
          </w:p>
        </w:tc>
        <w:tc>
          <w:tcPr>
            <w:tcW w:w="1640" w:type="dxa"/>
            <w:noWrap/>
            <w:vAlign w:val="center"/>
            <w:hideMark/>
          </w:tcPr>
          <w:p w14:paraId="29DA74F6" w14:textId="60DB3558" w:rsidR="00FC7244" w:rsidRPr="0054346E" w:rsidRDefault="00FC7244" w:rsidP="00FC724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hAnsi="Aptos Narrow"/>
                <w:color w:val="000000"/>
              </w:rPr>
              <w:t>605,450,080</w:t>
            </w:r>
          </w:p>
        </w:tc>
        <w:tc>
          <w:tcPr>
            <w:tcW w:w="1641" w:type="dxa"/>
            <w:noWrap/>
            <w:vAlign w:val="center"/>
            <w:hideMark/>
          </w:tcPr>
          <w:p w14:paraId="3CC5CF25" w14:textId="40A75CAE" w:rsidR="00FC7244" w:rsidRPr="0054346E" w:rsidRDefault="00FC7244" w:rsidP="00FC724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hAnsi="Aptos Narrow"/>
                <w:color w:val="000000"/>
              </w:rPr>
              <w:t>50%</w:t>
            </w:r>
          </w:p>
        </w:tc>
      </w:tr>
      <w:tr w:rsidR="00FC7244" w:rsidRPr="0054346E" w14:paraId="4774C322" w14:textId="77777777" w:rsidTr="00121B54">
        <w:trPr>
          <w:trHeight w:val="299"/>
        </w:trPr>
        <w:tc>
          <w:tcPr>
            <w:cnfStyle w:val="001000000000" w:firstRow="0" w:lastRow="0" w:firstColumn="1" w:lastColumn="0" w:oddVBand="0" w:evenVBand="0" w:oddHBand="0" w:evenHBand="0" w:firstRowFirstColumn="0" w:firstRowLastColumn="0" w:lastRowFirstColumn="0" w:lastRowLastColumn="0"/>
            <w:tcW w:w="2972" w:type="dxa"/>
            <w:noWrap/>
            <w:hideMark/>
          </w:tcPr>
          <w:p w14:paraId="5B463217" w14:textId="77777777" w:rsidR="00FC7244" w:rsidRPr="0054346E" w:rsidRDefault="00FC7244" w:rsidP="00FC7244">
            <w:pPr>
              <w:rPr>
                <w:rFonts w:ascii="Calibri" w:eastAsia="Times New Roman" w:hAnsi="Calibri" w:cs="Calibri"/>
                <w:color w:val="000000"/>
                <w:lang w:eastAsia="en-GB"/>
              </w:rPr>
            </w:pPr>
            <w:r w:rsidRPr="0054346E">
              <w:rPr>
                <w:rFonts w:ascii="Calibri" w:eastAsia="Times New Roman" w:hAnsi="Calibri" w:cs="Calibri"/>
                <w:color w:val="000000"/>
                <w:lang w:eastAsia="en-GB"/>
              </w:rPr>
              <w:t>Visiting Friends and Relatives</w:t>
            </w:r>
          </w:p>
        </w:tc>
        <w:tc>
          <w:tcPr>
            <w:tcW w:w="1640" w:type="dxa"/>
            <w:noWrap/>
            <w:vAlign w:val="center"/>
            <w:hideMark/>
          </w:tcPr>
          <w:p w14:paraId="2EFC7AFE" w14:textId="333BB5D9" w:rsidR="00FC7244" w:rsidRPr="0054346E" w:rsidRDefault="00FC7244" w:rsidP="00FC724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hAnsi="Aptos Narrow"/>
                <w:color w:val="000000"/>
              </w:rPr>
              <w:t>12,583,848</w:t>
            </w:r>
          </w:p>
        </w:tc>
        <w:tc>
          <w:tcPr>
            <w:tcW w:w="1641" w:type="dxa"/>
            <w:noWrap/>
            <w:vAlign w:val="center"/>
            <w:hideMark/>
          </w:tcPr>
          <w:p w14:paraId="27072590" w14:textId="0DEFF3FD" w:rsidR="00FC7244" w:rsidRPr="0054346E" w:rsidRDefault="00FC7244" w:rsidP="00FC724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hAnsi="Aptos Narrow"/>
                <w:color w:val="000000"/>
              </w:rPr>
              <w:t>37%</w:t>
            </w:r>
          </w:p>
        </w:tc>
        <w:tc>
          <w:tcPr>
            <w:tcW w:w="1640" w:type="dxa"/>
            <w:noWrap/>
            <w:vAlign w:val="center"/>
            <w:hideMark/>
          </w:tcPr>
          <w:p w14:paraId="5838BD22" w14:textId="68201307" w:rsidR="00FC7244" w:rsidRPr="0054346E" w:rsidRDefault="00FC7244" w:rsidP="00FC724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hAnsi="Aptos Narrow"/>
                <w:color w:val="000000"/>
              </w:rPr>
              <w:t>372,046,505</w:t>
            </w:r>
          </w:p>
        </w:tc>
        <w:tc>
          <w:tcPr>
            <w:tcW w:w="1641" w:type="dxa"/>
            <w:noWrap/>
            <w:vAlign w:val="center"/>
            <w:hideMark/>
          </w:tcPr>
          <w:p w14:paraId="13BCA78F" w14:textId="1CFD6934" w:rsidR="00FC7244" w:rsidRPr="0054346E" w:rsidRDefault="00FC7244" w:rsidP="00FC724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hAnsi="Aptos Narrow"/>
                <w:color w:val="000000"/>
              </w:rPr>
              <w:t>31%</w:t>
            </w:r>
          </w:p>
        </w:tc>
      </w:tr>
      <w:tr w:rsidR="00FC7244" w:rsidRPr="0054346E" w14:paraId="7EEA5B9B" w14:textId="77777777" w:rsidTr="00121B54">
        <w:trPr>
          <w:trHeight w:val="299"/>
        </w:trPr>
        <w:tc>
          <w:tcPr>
            <w:cnfStyle w:val="001000000000" w:firstRow="0" w:lastRow="0" w:firstColumn="1" w:lastColumn="0" w:oddVBand="0" w:evenVBand="0" w:oddHBand="0" w:evenHBand="0" w:firstRowFirstColumn="0" w:firstRowLastColumn="0" w:lastRowFirstColumn="0" w:lastRowLastColumn="0"/>
            <w:tcW w:w="2972" w:type="dxa"/>
            <w:noWrap/>
            <w:hideMark/>
          </w:tcPr>
          <w:p w14:paraId="656ED34E" w14:textId="77777777" w:rsidR="00FC7244" w:rsidRPr="0054346E" w:rsidRDefault="00FC7244" w:rsidP="00FC7244">
            <w:pPr>
              <w:rPr>
                <w:rFonts w:ascii="Calibri" w:eastAsia="Times New Roman" w:hAnsi="Calibri" w:cs="Calibri"/>
                <w:color w:val="000000"/>
                <w:lang w:eastAsia="en-GB"/>
              </w:rPr>
            </w:pPr>
            <w:r w:rsidRPr="0054346E">
              <w:rPr>
                <w:rFonts w:ascii="Calibri" w:eastAsia="Times New Roman" w:hAnsi="Calibri" w:cs="Calibri"/>
                <w:color w:val="000000"/>
                <w:lang w:eastAsia="en-GB"/>
              </w:rPr>
              <w:t>Business</w:t>
            </w:r>
          </w:p>
        </w:tc>
        <w:tc>
          <w:tcPr>
            <w:tcW w:w="1640" w:type="dxa"/>
            <w:noWrap/>
            <w:vAlign w:val="center"/>
            <w:hideMark/>
          </w:tcPr>
          <w:p w14:paraId="67AD3D03" w14:textId="31632948" w:rsidR="00FC7244" w:rsidRPr="0054346E" w:rsidRDefault="00FC7244" w:rsidP="00FC724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hAnsi="Aptos Narrow"/>
                <w:color w:val="000000"/>
              </w:rPr>
              <w:t>12,184,434</w:t>
            </w:r>
          </w:p>
        </w:tc>
        <w:tc>
          <w:tcPr>
            <w:tcW w:w="1641" w:type="dxa"/>
            <w:noWrap/>
            <w:vAlign w:val="center"/>
            <w:hideMark/>
          </w:tcPr>
          <w:p w14:paraId="7C0A8895" w14:textId="05529063" w:rsidR="00FC7244" w:rsidRPr="0054346E" w:rsidRDefault="00FC7244" w:rsidP="00FC724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hAnsi="Aptos Narrow"/>
                <w:color w:val="000000"/>
              </w:rPr>
              <w:t>36%</w:t>
            </w:r>
          </w:p>
        </w:tc>
        <w:tc>
          <w:tcPr>
            <w:tcW w:w="1640" w:type="dxa"/>
            <w:noWrap/>
            <w:vAlign w:val="center"/>
            <w:hideMark/>
          </w:tcPr>
          <w:p w14:paraId="3B26BCEE" w14:textId="1A756E4C" w:rsidR="00FC7244" w:rsidRPr="0054346E" w:rsidRDefault="00FC7244" w:rsidP="00FC724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hAnsi="Aptos Narrow"/>
                <w:color w:val="000000"/>
              </w:rPr>
              <w:t>234,316,028</w:t>
            </w:r>
          </w:p>
        </w:tc>
        <w:tc>
          <w:tcPr>
            <w:tcW w:w="1641" w:type="dxa"/>
            <w:noWrap/>
            <w:vAlign w:val="center"/>
            <w:hideMark/>
          </w:tcPr>
          <w:p w14:paraId="582AD997" w14:textId="12EE3C49" w:rsidR="00FC7244" w:rsidRPr="0054346E" w:rsidRDefault="00FC7244" w:rsidP="00FC724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hAnsi="Aptos Narrow"/>
                <w:color w:val="000000"/>
              </w:rPr>
              <w:t>19%</w:t>
            </w:r>
          </w:p>
        </w:tc>
      </w:tr>
      <w:tr w:rsidR="00FC7244" w:rsidRPr="0054346E" w14:paraId="2CBFF0C3" w14:textId="77777777" w:rsidTr="00121B54">
        <w:trPr>
          <w:trHeight w:val="299"/>
        </w:trPr>
        <w:tc>
          <w:tcPr>
            <w:cnfStyle w:val="001000000000" w:firstRow="0" w:lastRow="0" w:firstColumn="1" w:lastColumn="0" w:oddVBand="0" w:evenVBand="0" w:oddHBand="0" w:evenHBand="0" w:firstRowFirstColumn="0" w:firstRowLastColumn="0" w:lastRowFirstColumn="0" w:lastRowLastColumn="0"/>
            <w:tcW w:w="2972" w:type="dxa"/>
            <w:noWrap/>
            <w:hideMark/>
          </w:tcPr>
          <w:p w14:paraId="7FC93CC5" w14:textId="77777777" w:rsidR="00FC7244" w:rsidRPr="0054346E" w:rsidRDefault="00FC7244" w:rsidP="00FC7244">
            <w:pPr>
              <w:rPr>
                <w:rFonts w:ascii="Calibri" w:eastAsia="Times New Roman" w:hAnsi="Calibri" w:cs="Calibri"/>
                <w:color w:val="000000"/>
                <w:lang w:eastAsia="en-GB"/>
              </w:rPr>
            </w:pPr>
            <w:r w:rsidRPr="0054346E">
              <w:rPr>
                <w:rFonts w:ascii="Calibri" w:eastAsia="Times New Roman" w:hAnsi="Calibri" w:cs="Calibri"/>
                <w:color w:val="000000"/>
                <w:lang w:eastAsia="en-GB"/>
              </w:rPr>
              <w:t>All</w:t>
            </w:r>
          </w:p>
        </w:tc>
        <w:tc>
          <w:tcPr>
            <w:tcW w:w="1640" w:type="dxa"/>
            <w:noWrap/>
            <w:vAlign w:val="center"/>
            <w:hideMark/>
          </w:tcPr>
          <w:p w14:paraId="662D4E52" w14:textId="78C19664" w:rsidR="00FC7244" w:rsidRPr="0054346E" w:rsidRDefault="00FC7244" w:rsidP="00FC724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hAnsi="Aptos Narrow"/>
                <w:color w:val="000000"/>
              </w:rPr>
              <w:t>33,817,781</w:t>
            </w:r>
          </w:p>
        </w:tc>
        <w:tc>
          <w:tcPr>
            <w:tcW w:w="1641" w:type="dxa"/>
            <w:noWrap/>
            <w:vAlign w:val="center"/>
            <w:hideMark/>
          </w:tcPr>
          <w:p w14:paraId="73228A42" w14:textId="40E68B5C" w:rsidR="00FC7244" w:rsidRPr="0054346E" w:rsidRDefault="00FC7244" w:rsidP="00FC724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hAnsi="Aptos Narrow"/>
                <w:color w:val="000000"/>
              </w:rPr>
              <w:t>100%</w:t>
            </w:r>
          </w:p>
        </w:tc>
        <w:tc>
          <w:tcPr>
            <w:tcW w:w="1640" w:type="dxa"/>
            <w:noWrap/>
            <w:vAlign w:val="center"/>
            <w:hideMark/>
          </w:tcPr>
          <w:p w14:paraId="0F1F0A74" w14:textId="4878406A" w:rsidR="00FC7244" w:rsidRPr="0054346E" w:rsidRDefault="00FC7244" w:rsidP="00FC724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hAnsi="Aptos Narrow"/>
                <w:color w:val="000000"/>
              </w:rPr>
              <w:t>1,211,812,613</w:t>
            </w:r>
          </w:p>
        </w:tc>
        <w:tc>
          <w:tcPr>
            <w:tcW w:w="1641" w:type="dxa"/>
            <w:noWrap/>
            <w:vAlign w:val="center"/>
            <w:hideMark/>
          </w:tcPr>
          <w:p w14:paraId="34E0BD03" w14:textId="266490C6" w:rsidR="00FC7244" w:rsidRPr="0054346E" w:rsidRDefault="00FC7244" w:rsidP="00FC7244">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hAnsi="Aptos Narrow"/>
                <w:color w:val="000000"/>
              </w:rPr>
              <w:t>100%</w:t>
            </w:r>
          </w:p>
        </w:tc>
      </w:tr>
    </w:tbl>
    <w:p w14:paraId="33749CA2" w14:textId="372B04CC" w:rsidR="0054346E" w:rsidRDefault="0054346E" w:rsidP="0054346E">
      <w:pPr>
        <w:rPr>
          <w:i/>
          <w:sz w:val="20"/>
          <w:szCs w:val="20"/>
        </w:rPr>
      </w:pPr>
      <w:r w:rsidRPr="00443336">
        <w:rPr>
          <w:i/>
          <w:sz w:val="20"/>
          <w:szCs w:val="20"/>
        </w:rPr>
        <w:t xml:space="preserve">Table </w:t>
      </w:r>
      <w:r w:rsidR="00536DE2">
        <w:rPr>
          <w:i/>
          <w:sz w:val="20"/>
          <w:szCs w:val="20"/>
        </w:rPr>
        <w:t>3</w:t>
      </w:r>
      <w:r w:rsidRPr="00443336">
        <w:rPr>
          <w:i/>
          <w:sz w:val="20"/>
          <w:szCs w:val="20"/>
        </w:rPr>
        <w:t xml:space="preserve">: Estimated </w:t>
      </w:r>
      <w:r>
        <w:rPr>
          <w:i/>
          <w:sz w:val="20"/>
          <w:szCs w:val="20"/>
        </w:rPr>
        <w:t>spend during</w:t>
      </w:r>
      <w:r w:rsidRPr="00443336">
        <w:rPr>
          <w:i/>
          <w:sz w:val="20"/>
          <w:szCs w:val="20"/>
        </w:rPr>
        <w:t xml:space="preserve"> overnight trips in Armagh City, Banbridge and Craigavon Borough and Northern Ireland by reason for visit, </w:t>
      </w:r>
      <w:r>
        <w:rPr>
          <w:i/>
          <w:sz w:val="20"/>
          <w:szCs w:val="20"/>
        </w:rPr>
        <w:t>2023</w:t>
      </w:r>
      <w:r w:rsidRPr="00443336">
        <w:rPr>
          <w:i/>
          <w:sz w:val="20"/>
          <w:szCs w:val="20"/>
        </w:rPr>
        <w:t xml:space="preserve">. Source: Tourism Statistics, NISRA. </w:t>
      </w:r>
    </w:p>
    <w:p w14:paraId="64D3209E" w14:textId="77777777" w:rsidR="00B56A3C" w:rsidRPr="005F169E" w:rsidRDefault="00B56A3C" w:rsidP="00201EBB">
      <w:pPr>
        <w:rPr>
          <w:i/>
          <w:color w:val="FF0000"/>
          <w:sz w:val="20"/>
          <w:szCs w:val="20"/>
        </w:rPr>
      </w:pPr>
    </w:p>
    <w:p w14:paraId="6115E4A1" w14:textId="14ACFCCC" w:rsidR="00381E1E" w:rsidRPr="00870F89" w:rsidRDefault="00B56A3C">
      <w:r>
        <w:t xml:space="preserve">With regards the origin of visitors taking overnight trips to the Borough in 2023, this information is presented in Table </w:t>
      </w:r>
      <w:r w:rsidR="00536DE2">
        <w:t>4</w:t>
      </w:r>
      <w:r>
        <w:t xml:space="preserve"> below.  In the Borough, </w:t>
      </w:r>
      <w:proofErr w:type="gramStart"/>
      <w:r>
        <w:t>the majority of</w:t>
      </w:r>
      <w:proofErr w:type="gramEnd"/>
      <w:r>
        <w:t xml:space="preserve"> visitors were from </w:t>
      </w:r>
      <w:r w:rsidR="00D7456E" w:rsidRPr="00E963A1">
        <w:t>Northern Ireland (</w:t>
      </w:r>
      <w:r>
        <w:t>40</w:t>
      </w:r>
      <w:r w:rsidR="00D7456E" w:rsidRPr="00E963A1">
        <w:t>%)</w:t>
      </w:r>
      <w:r w:rsidR="00A33DDD">
        <w:t xml:space="preserve"> and approximately one third of visitors were from other countries.</w:t>
      </w:r>
      <w:r w:rsidR="00D7456E" w:rsidRPr="00E963A1">
        <w:t xml:space="preserve"> </w:t>
      </w:r>
      <w:r>
        <w:t xml:space="preserve">The figures were much the same for Northern Ireland overall at 39% and </w:t>
      </w:r>
      <w:r w:rsidR="00A33DDD">
        <w:t>34</w:t>
      </w:r>
      <w:r>
        <w:t xml:space="preserve">% respectively.  </w:t>
      </w:r>
      <w:r w:rsidR="00D7456E" w:rsidRPr="00E963A1">
        <w:t xml:space="preserve">Approximately </w:t>
      </w:r>
      <w:r w:rsidR="00A33DDD">
        <w:t>27</w:t>
      </w:r>
      <w:r w:rsidR="00D7456E" w:rsidRPr="00E963A1">
        <w:t>% of</w:t>
      </w:r>
      <w:r w:rsidR="00D14FF4" w:rsidRPr="00E963A1">
        <w:t xml:space="preserve"> overnight trips </w:t>
      </w:r>
      <w:r w:rsidR="00A33DDD">
        <w:t xml:space="preserve">to both the Borough and Northern Ireland overall </w:t>
      </w:r>
      <w:r w:rsidR="00D14FF4" w:rsidRPr="00E963A1">
        <w:t xml:space="preserve">were </w:t>
      </w:r>
      <w:r>
        <w:t xml:space="preserve">made by visitors </w:t>
      </w:r>
      <w:r w:rsidR="00D14FF4" w:rsidRPr="00E963A1">
        <w:t xml:space="preserve">from </w:t>
      </w:r>
      <w:r w:rsidR="00A33DDD" w:rsidRPr="00E963A1">
        <w:t>Great Britain</w:t>
      </w:r>
      <w:r w:rsidR="00A33DDD">
        <w:t xml:space="preserve">.  </w:t>
      </w:r>
    </w:p>
    <w:tbl>
      <w:tblPr>
        <w:tblStyle w:val="GridTable1Light"/>
        <w:tblW w:w="9500" w:type="dxa"/>
        <w:tblLayout w:type="fixed"/>
        <w:tblLook w:val="04A0" w:firstRow="1" w:lastRow="0" w:firstColumn="1" w:lastColumn="0" w:noHBand="0" w:noVBand="1"/>
        <w:tblCaption w:val="Estimated average overnight trips in Armagh City, Banbridge and Craigavon Borough and Northern Ireland by place of origin, 3-year average 2017-2019"/>
      </w:tblPr>
      <w:tblGrid>
        <w:gridCol w:w="2268"/>
        <w:gridCol w:w="1808"/>
        <w:gridCol w:w="1808"/>
        <w:gridCol w:w="1808"/>
        <w:gridCol w:w="1808"/>
      </w:tblGrid>
      <w:tr w:rsidR="00FE02BE" w:rsidRPr="00FE02BE" w14:paraId="63DF870A" w14:textId="77777777" w:rsidTr="00FE3693">
        <w:trPr>
          <w:cnfStyle w:val="100000000000" w:firstRow="1" w:lastRow="0" w:firstColumn="0" w:lastColumn="0" w:oddVBand="0" w:evenVBand="0" w:oddHBand="0" w:evenHBand="0" w:firstRowFirstColumn="0" w:firstRowLastColumn="0" w:lastRowFirstColumn="0" w:lastRowLastColumn="0"/>
          <w:trHeight w:val="864"/>
          <w:tblHeader/>
        </w:trPr>
        <w:tc>
          <w:tcPr>
            <w:cnfStyle w:val="001000000000" w:firstRow="0" w:lastRow="0" w:firstColumn="1" w:lastColumn="0" w:oddVBand="0" w:evenVBand="0" w:oddHBand="0" w:evenHBand="0" w:firstRowFirstColumn="0" w:firstRowLastColumn="0" w:lastRowFirstColumn="0" w:lastRowLastColumn="0"/>
            <w:tcW w:w="2268" w:type="dxa"/>
            <w:vMerge w:val="restart"/>
            <w:noWrap/>
            <w:hideMark/>
          </w:tcPr>
          <w:p w14:paraId="1FF0E75B" w14:textId="77777777" w:rsidR="00FE02BE" w:rsidRPr="00FE02BE" w:rsidRDefault="00FE02BE" w:rsidP="00FE02BE">
            <w:pPr>
              <w:rPr>
                <w:rFonts w:ascii="Calibri" w:eastAsia="Times New Roman" w:hAnsi="Calibri" w:cs="Calibri"/>
                <w:lang w:eastAsia="en-GB"/>
              </w:rPr>
            </w:pPr>
            <w:r w:rsidRPr="00FE02BE">
              <w:rPr>
                <w:rFonts w:ascii="Calibri" w:eastAsia="Times New Roman" w:hAnsi="Calibri" w:cs="Calibri"/>
                <w:lang w:eastAsia="en-GB"/>
              </w:rPr>
              <w:t> </w:t>
            </w:r>
          </w:p>
        </w:tc>
        <w:tc>
          <w:tcPr>
            <w:tcW w:w="3616" w:type="dxa"/>
            <w:gridSpan w:val="2"/>
            <w:hideMark/>
          </w:tcPr>
          <w:p w14:paraId="77E852FD" w14:textId="77777777" w:rsidR="00FE02BE" w:rsidRPr="00FE02BE" w:rsidRDefault="00FE02BE" w:rsidP="00FE02B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FE02BE">
              <w:rPr>
                <w:rFonts w:ascii="Calibri" w:eastAsia="Times New Roman" w:hAnsi="Calibri" w:cs="Calibri"/>
                <w:lang w:eastAsia="en-GB"/>
              </w:rPr>
              <w:t>Armagh City, Banbridge and Craigavon</w:t>
            </w:r>
          </w:p>
        </w:tc>
        <w:tc>
          <w:tcPr>
            <w:tcW w:w="3616" w:type="dxa"/>
            <w:gridSpan w:val="2"/>
            <w:hideMark/>
          </w:tcPr>
          <w:p w14:paraId="26C4B84F" w14:textId="77777777" w:rsidR="00FE02BE" w:rsidRPr="00FE02BE" w:rsidRDefault="00FE02BE" w:rsidP="00FE02B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FE02BE">
              <w:rPr>
                <w:rFonts w:ascii="Calibri" w:eastAsia="Times New Roman" w:hAnsi="Calibri" w:cs="Calibri"/>
                <w:lang w:eastAsia="en-GB"/>
              </w:rPr>
              <w:t>Northern Ireland</w:t>
            </w:r>
          </w:p>
        </w:tc>
      </w:tr>
      <w:tr w:rsidR="00FE02BE" w:rsidRPr="00FE02BE" w14:paraId="55AA7AA2" w14:textId="77777777" w:rsidTr="00D7456E">
        <w:trPr>
          <w:trHeight w:val="288"/>
        </w:trPr>
        <w:tc>
          <w:tcPr>
            <w:cnfStyle w:val="001000000000" w:firstRow="0" w:lastRow="0" w:firstColumn="1" w:lastColumn="0" w:oddVBand="0" w:evenVBand="0" w:oddHBand="0" w:evenHBand="0" w:firstRowFirstColumn="0" w:firstRowLastColumn="0" w:lastRowFirstColumn="0" w:lastRowLastColumn="0"/>
            <w:tcW w:w="2268" w:type="dxa"/>
            <w:vMerge/>
            <w:hideMark/>
          </w:tcPr>
          <w:p w14:paraId="114C6A65" w14:textId="77777777" w:rsidR="00FE02BE" w:rsidRPr="00FE02BE" w:rsidRDefault="00FE02BE" w:rsidP="00FE02BE">
            <w:pPr>
              <w:rPr>
                <w:rFonts w:ascii="Calibri" w:eastAsia="Times New Roman" w:hAnsi="Calibri" w:cs="Calibri"/>
                <w:lang w:eastAsia="en-GB"/>
              </w:rPr>
            </w:pPr>
          </w:p>
        </w:tc>
        <w:tc>
          <w:tcPr>
            <w:tcW w:w="1808" w:type="dxa"/>
            <w:hideMark/>
          </w:tcPr>
          <w:p w14:paraId="3B9A5D6A" w14:textId="77777777" w:rsidR="00FE02BE" w:rsidRPr="00FE02BE" w:rsidRDefault="00FE02BE" w:rsidP="00FE02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FE02BE">
              <w:rPr>
                <w:rFonts w:ascii="Calibri" w:eastAsia="Times New Roman" w:hAnsi="Calibri" w:cs="Calibri"/>
                <w:b/>
                <w:bCs/>
                <w:lang w:eastAsia="en-GB"/>
              </w:rPr>
              <w:t>Number</w:t>
            </w:r>
          </w:p>
        </w:tc>
        <w:tc>
          <w:tcPr>
            <w:tcW w:w="1808" w:type="dxa"/>
            <w:hideMark/>
          </w:tcPr>
          <w:p w14:paraId="2BFE723E" w14:textId="77777777" w:rsidR="00FE02BE" w:rsidRPr="00FE02BE" w:rsidRDefault="00FE02BE" w:rsidP="00FE02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FE02BE">
              <w:rPr>
                <w:rFonts w:ascii="Calibri" w:eastAsia="Times New Roman" w:hAnsi="Calibri" w:cs="Calibri"/>
                <w:b/>
                <w:bCs/>
                <w:lang w:eastAsia="en-GB"/>
              </w:rPr>
              <w:t>%</w:t>
            </w:r>
          </w:p>
        </w:tc>
        <w:tc>
          <w:tcPr>
            <w:tcW w:w="1808" w:type="dxa"/>
            <w:hideMark/>
          </w:tcPr>
          <w:p w14:paraId="5B7179FB" w14:textId="77777777" w:rsidR="00FE02BE" w:rsidRPr="00FE02BE" w:rsidRDefault="00FE02BE" w:rsidP="00FE02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FE02BE">
              <w:rPr>
                <w:rFonts w:ascii="Calibri" w:eastAsia="Times New Roman" w:hAnsi="Calibri" w:cs="Calibri"/>
                <w:b/>
                <w:bCs/>
                <w:lang w:eastAsia="en-GB"/>
              </w:rPr>
              <w:t>Number</w:t>
            </w:r>
          </w:p>
        </w:tc>
        <w:tc>
          <w:tcPr>
            <w:tcW w:w="1808" w:type="dxa"/>
            <w:hideMark/>
          </w:tcPr>
          <w:p w14:paraId="2B617AA3" w14:textId="77777777" w:rsidR="00FE02BE" w:rsidRPr="00FE02BE" w:rsidRDefault="00FE02BE" w:rsidP="00FE02B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lang w:eastAsia="en-GB"/>
              </w:rPr>
            </w:pPr>
            <w:r w:rsidRPr="00FE02BE">
              <w:rPr>
                <w:rFonts w:ascii="Calibri" w:eastAsia="Times New Roman" w:hAnsi="Calibri" w:cs="Calibri"/>
                <w:b/>
                <w:bCs/>
                <w:lang w:eastAsia="en-GB"/>
              </w:rPr>
              <w:t>%</w:t>
            </w:r>
          </w:p>
        </w:tc>
      </w:tr>
      <w:tr w:rsidR="00A33DDD" w:rsidRPr="00FE02BE" w14:paraId="1F349BE8" w14:textId="77777777" w:rsidTr="004975FE">
        <w:trPr>
          <w:trHeight w:val="288"/>
        </w:trPr>
        <w:tc>
          <w:tcPr>
            <w:cnfStyle w:val="001000000000" w:firstRow="0" w:lastRow="0" w:firstColumn="1" w:lastColumn="0" w:oddVBand="0" w:evenVBand="0" w:oddHBand="0" w:evenHBand="0" w:firstRowFirstColumn="0" w:firstRowLastColumn="0" w:lastRowFirstColumn="0" w:lastRowLastColumn="0"/>
            <w:tcW w:w="2268" w:type="dxa"/>
            <w:noWrap/>
            <w:hideMark/>
          </w:tcPr>
          <w:p w14:paraId="082F7445" w14:textId="77777777" w:rsidR="00A33DDD" w:rsidRPr="00FE02BE" w:rsidRDefault="00A33DDD" w:rsidP="00A33DDD">
            <w:pPr>
              <w:rPr>
                <w:rFonts w:ascii="Calibri" w:eastAsia="Times New Roman" w:hAnsi="Calibri" w:cs="Calibri"/>
                <w:lang w:eastAsia="en-GB"/>
              </w:rPr>
            </w:pPr>
            <w:r w:rsidRPr="00FE02BE">
              <w:rPr>
                <w:rFonts w:ascii="Calibri" w:eastAsia="Times New Roman" w:hAnsi="Calibri" w:cs="Calibri"/>
                <w:lang w:eastAsia="en-GB"/>
              </w:rPr>
              <w:t>Northern Ireland</w:t>
            </w:r>
          </w:p>
        </w:tc>
        <w:tc>
          <w:tcPr>
            <w:tcW w:w="1808" w:type="dxa"/>
            <w:noWrap/>
            <w:vAlign w:val="center"/>
            <w:hideMark/>
          </w:tcPr>
          <w:p w14:paraId="1F8C1F42" w14:textId="10C03529" w:rsidR="00A33DDD" w:rsidRPr="00FE02BE" w:rsidRDefault="00A33DDD" w:rsidP="00A33DD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Aptos Narrow" w:hAnsi="Aptos Narrow"/>
                <w:color w:val="000000"/>
              </w:rPr>
              <w:t>75,484</w:t>
            </w:r>
          </w:p>
        </w:tc>
        <w:tc>
          <w:tcPr>
            <w:tcW w:w="1808" w:type="dxa"/>
            <w:noWrap/>
            <w:vAlign w:val="center"/>
            <w:hideMark/>
          </w:tcPr>
          <w:p w14:paraId="5D97F68D" w14:textId="596F5C41" w:rsidR="00A33DDD" w:rsidRPr="00FE02BE" w:rsidRDefault="00A33DDD" w:rsidP="00A33DD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40%</w:t>
            </w:r>
          </w:p>
        </w:tc>
        <w:tc>
          <w:tcPr>
            <w:tcW w:w="1808" w:type="dxa"/>
            <w:noWrap/>
            <w:vAlign w:val="center"/>
            <w:hideMark/>
          </w:tcPr>
          <w:p w14:paraId="29DA5551" w14:textId="63DB3F7D" w:rsidR="00A33DDD" w:rsidRPr="00FE02BE" w:rsidRDefault="00A33DDD" w:rsidP="00A33DD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Aptos Narrow" w:hAnsi="Aptos Narrow"/>
                <w:color w:val="000000"/>
              </w:rPr>
              <w:t>2,146,278</w:t>
            </w:r>
          </w:p>
        </w:tc>
        <w:tc>
          <w:tcPr>
            <w:tcW w:w="1808" w:type="dxa"/>
            <w:noWrap/>
            <w:vAlign w:val="center"/>
            <w:hideMark/>
          </w:tcPr>
          <w:p w14:paraId="3807D2F4" w14:textId="6B57E0CA" w:rsidR="00A33DDD" w:rsidRPr="00FE02BE" w:rsidRDefault="00A33DDD" w:rsidP="00A33DD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39%</w:t>
            </w:r>
          </w:p>
        </w:tc>
      </w:tr>
      <w:tr w:rsidR="00A33DDD" w:rsidRPr="00FE02BE" w14:paraId="1FF04578" w14:textId="77777777" w:rsidTr="004975FE">
        <w:trPr>
          <w:trHeight w:val="288"/>
        </w:trPr>
        <w:tc>
          <w:tcPr>
            <w:cnfStyle w:val="001000000000" w:firstRow="0" w:lastRow="0" w:firstColumn="1" w:lastColumn="0" w:oddVBand="0" w:evenVBand="0" w:oddHBand="0" w:evenHBand="0" w:firstRowFirstColumn="0" w:firstRowLastColumn="0" w:lastRowFirstColumn="0" w:lastRowLastColumn="0"/>
            <w:tcW w:w="2268" w:type="dxa"/>
            <w:noWrap/>
            <w:hideMark/>
          </w:tcPr>
          <w:p w14:paraId="404DCEC6" w14:textId="77777777" w:rsidR="00A33DDD" w:rsidRPr="00FE02BE" w:rsidRDefault="00A33DDD" w:rsidP="00A33DDD">
            <w:pPr>
              <w:rPr>
                <w:rFonts w:ascii="Calibri" w:eastAsia="Times New Roman" w:hAnsi="Calibri" w:cs="Calibri"/>
                <w:lang w:eastAsia="en-GB"/>
              </w:rPr>
            </w:pPr>
            <w:r w:rsidRPr="00FE02BE">
              <w:rPr>
                <w:rFonts w:ascii="Calibri" w:eastAsia="Times New Roman" w:hAnsi="Calibri" w:cs="Calibri"/>
                <w:lang w:eastAsia="en-GB"/>
              </w:rPr>
              <w:t>Great Britain</w:t>
            </w:r>
          </w:p>
        </w:tc>
        <w:tc>
          <w:tcPr>
            <w:tcW w:w="1808" w:type="dxa"/>
            <w:noWrap/>
            <w:vAlign w:val="center"/>
            <w:hideMark/>
          </w:tcPr>
          <w:p w14:paraId="04026451" w14:textId="2DCBC500" w:rsidR="00A33DDD" w:rsidRPr="00FE02BE" w:rsidRDefault="00A33DDD" w:rsidP="00A33DD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Aptos Narrow" w:hAnsi="Aptos Narrow"/>
                <w:color w:val="000000"/>
              </w:rPr>
              <w:t>51,442</w:t>
            </w:r>
          </w:p>
        </w:tc>
        <w:tc>
          <w:tcPr>
            <w:tcW w:w="1808" w:type="dxa"/>
            <w:noWrap/>
            <w:vAlign w:val="center"/>
            <w:hideMark/>
          </w:tcPr>
          <w:p w14:paraId="6ACF177E" w14:textId="35464541" w:rsidR="00A33DDD" w:rsidRPr="00FE02BE" w:rsidRDefault="00A33DDD" w:rsidP="00A33DD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27%</w:t>
            </w:r>
          </w:p>
        </w:tc>
        <w:tc>
          <w:tcPr>
            <w:tcW w:w="1808" w:type="dxa"/>
            <w:noWrap/>
            <w:vAlign w:val="center"/>
            <w:hideMark/>
          </w:tcPr>
          <w:p w14:paraId="25C53316" w14:textId="7DBA71B9" w:rsidR="00A33DDD" w:rsidRPr="00FE02BE" w:rsidRDefault="00A33DDD" w:rsidP="00A33DD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Aptos Narrow" w:hAnsi="Aptos Narrow"/>
                <w:color w:val="000000"/>
              </w:rPr>
              <w:t>1,469,437</w:t>
            </w:r>
          </w:p>
        </w:tc>
        <w:tc>
          <w:tcPr>
            <w:tcW w:w="1808" w:type="dxa"/>
            <w:noWrap/>
            <w:vAlign w:val="center"/>
            <w:hideMark/>
          </w:tcPr>
          <w:p w14:paraId="1945A5A4" w14:textId="2DEE95C2" w:rsidR="00A33DDD" w:rsidRPr="00FE02BE" w:rsidRDefault="00A33DDD" w:rsidP="00A33DD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27%</w:t>
            </w:r>
          </w:p>
        </w:tc>
      </w:tr>
      <w:tr w:rsidR="00A33DDD" w:rsidRPr="00FE02BE" w14:paraId="3CE2A727" w14:textId="77777777" w:rsidTr="004975FE">
        <w:trPr>
          <w:trHeight w:val="288"/>
        </w:trPr>
        <w:tc>
          <w:tcPr>
            <w:cnfStyle w:val="001000000000" w:firstRow="0" w:lastRow="0" w:firstColumn="1" w:lastColumn="0" w:oddVBand="0" w:evenVBand="0" w:oddHBand="0" w:evenHBand="0" w:firstRowFirstColumn="0" w:firstRowLastColumn="0" w:lastRowFirstColumn="0" w:lastRowLastColumn="0"/>
            <w:tcW w:w="2268" w:type="dxa"/>
            <w:noWrap/>
            <w:hideMark/>
          </w:tcPr>
          <w:p w14:paraId="5FA5CB9B" w14:textId="702E9D5D" w:rsidR="00A33DDD" w:rsidRPr="00FE02BE" w:rsidRDefault="00A33DDD" w:rsidP="00A33DDD">
            <w:pPr>
              <w:rPr>
                <w:rFonts w:ascii="Calibri" w:eastAsia="Times New Roman" w:hAnsi="Calibri" w:cs="Calibri"/>
                <w:lang w:eastAsia="en-GB"/>
              </w:rPr>
            </w:pPr>
            <w:r w:rsidRPr="00FE02BE">
              <w:rPr>
                <w:rFonts w:ascii="Calibri" w:eastAsia="Times New Roman" w:hAnsi="Calibri" w:cs="Calibri"/>
                <w:lang w:eastAsia="en-GB"/>
              </w:rPr>
              <w:t xml:space="preserve">Other </w:t>
            </w:r>
          </w:p>
        </w:tc>
        <w:tc>
          <w:tcPr>
            <w:tcW w:w="1808" w:type="dxa"/>
            <w:noWrap/>
            <w:vAlign w:val="center"/>
            <w:hideMark/>
          </w:tcPr>
          <w:p w14:paraId="7680F04B" w14:textId="0FB5C4DD" w:rsidR="00A33DDD" w:rsidRPr="00FE02BE" w:rsidRDefault="00A33DDD" w:rsidP="00A33DD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Aptos Narrow" w:hAnsi="Aptos Narrow"/>
                <w:color w:val="000000"/>
              </w:rPr>
              <w:t>61,441</w:t>
            </w:r>
          </w:p>
        </w:tc>
        <w:tc>
          <w:tcPr>
            <w:tcW w:w="1808" w:type="dxa"/>
            <w:noWrap/>
            <w:vAlign w:val="center"/>
            <w:hideMark/>
          </w:tcPr>
          <w:p w14:paraId="4B8F582B" w14:textId="0AA4A280" w:rsidR="00A33DDD" w:rsidRPr="00FE02BE" w:rsidRDefault="00A33DDD" w:rsidP="00A33DD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33%</w:t>
            </w:r>
          </w:p>
        </w:tc>
        <w:tc>
          <w:tcPr>
            <w:tcW w:w="1808" w:type="dxa"/>
            <w:noWrap/>
            <w:vAlign w:val="center"/>
            <w:hideMark/>
          </w:tcPr>
          <w:p w14:paraId="55364B40" w14:textId="74D3C575" w:rsidR="00A33DDD" w:rsidRPr="00FE02BE" w:rsidRDefault="00A33DDD" w:rsidP="00A33DD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Aptos Narrow" w:hAnsi="Aptos Narrow"/>
                <w:color w:val="000000"/>
              </w:rPr>
              <w:t>1,833,911</w:t>
            </w:r>
          </w:p>
        </w:tc>
        <w:tc>
          <w:tcPr>
            <w:tcW w:w="1808" w:type="dxa"/>
            <w:noWrap/>
            <w:vAlign w:val="center"/>
            <w:hideMark/>
          </w:tcPr>
          <w:p w14:paraId="1EF1CA17" w14:textId="08CA61AA" w:rsidR="00A33DDD" w:rsidRPr="00FE02BE" w:rsidRDefault="00A33DDD" w:rsidP="00A33DD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34%</w:t>
            </w:r>
          </w:p>
        </w:tc>
      </w:tr>
      <w:tr w:rsidR="00A33DDD" w:rsidRPr="00FE02BE" w14:paraId="68DFF397" w14:textId="77777777" w:rsidTr="00B16186">
        <w:trPr>
          <w:trHeight w:val="288"/>
        </w:trPr>
        <w:tc>
          <w:tcPr>
            <w:cnfStyle w:val="001000000000" w:firstRow="0" w:lastRow="0" w:firstColumn="1" w:lastColumn="0" w:oddVBand="0" w:evenVBand="0" w:oddHBand="0" w:evenHBand="0" w:firstRowFirstColumn="0" w:firstRowLastColumn="0" w:lastRowFirstColumn="0" w:lastRowLastColumn="0"/>
            <w:tcW w:w="2268" w:type="dxa"/>
            <w:noWrap/>
            <w:hideMark/>
          </w:tcPr>
          <w:p w14:paraId="6A745486" w14:textId="77777777" w:rsidR="00A33DDD" w:rsidRPr="00FE02BE" w:rsidRDefault="00A33DDD" w:rsidP="00A33DDD">
            <w:pPr>
              <w:rPr>
                <w:rFonts w:ascii="Calibri" w:eastAsia="Times New Roman" w:hAnsi="Calibri" w:cs="Calibri"/>
                <w:lang w:eastAsia="en-GB"/>
              </w:rPr>
            </w:pPr>
            <w:r w:rsidRPr="00FE02BE">
              <w:rPr>
                <w:rFonts w:ascii="Calibri" w:eastAsia="Times New Roman" w:hAnsi="Calibri" w:cs="Calibri"/>
                <w:lang w:eastAsia="en-GB"/>
              </w:rPr>
              <w:t>All</w:t>
            </w:r>
          </w:p>
        </w:tc>
        <w:tc>
          <w:tcPr>
            <w:tcW w:w="1808" w:type="dxa"/>
            <w:noWrap/>
            <w:vAlign w:val="center"/>
            <w:hideMark/>
          </w:tcPr>
          <w:p w14:paraId="0BDB9BCF" w14:textId="5098A351" w:rsidR="00A33DDD" w:rsidRPr="00FE02BE" w:rsidRDefault="00A33DDD" w:rsidP="00A33DD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b/>
                <w:bCs/>
                <w:color w:val="000000"/>
              </w:rPr>
              <w:t>188,367</w:t>
            </w:r>
          </w:p>
        </w:tc>
        <w:tc>
          <w:tcPr>
            <w:tcW w:w="1808" w:type="dxa"/>
            <w:noWrap/>
            <w:vAlign w:val="center"/>
            <w:hideMark/>
          </w:tcPr>
          <w:p w14:paraId="02F502BC" w14:textId="3CD3F2CA" w:rsidR="00A33DDD" w:rsidRPr="00FE02BE" w:rsidRDefault="00A33DDD" w:rsidP="00A33DD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b/>
                <w:bCs/>
                <w:color w:val="000000"/>
              </w:rPr>
              <w:t>100%</w:t>
            </w:r>
          </w:p>
        </w:tc>
        <w:tc>
          <w:tcPr>
            <w:tcW w:w="1808" w:type="dxa"/>
            <w:noWrap/>
            <w:vAlign w:val="center"/>
            <w:hideMark/>
          </w:tcPr>
          <w:p w14:paraId="0C76920F" w14:textId="2C274D77" w:rsidR="00A33DDD" w:rsidRPr="00FE02BE" w:rsidRDefault="00A33DDD" w:rsidP="00A33DD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b/>
                <w:bCs/>
                <w:color w:val="000000"/>
              </w:rPr>
              <w:t>5,449,626</w:t>
            </w:r>
          </w:p>
        </w:tc>
        <w:tc>
          <w:tcPr>
            <w:tcW w:w="1808" w:type="dxa"/>
            <w:noWrap/>
            <w:vAlign w:val="center"/>
            <w:hideMark/>
          </w:tcPr>
          <w:p w14:paraId="3BCDFFED" w14:textId="21B330F1" w:rsidR="00A33DDD" w:rsidRPr="00FE02BE" w:rsidRDefault="00A33DDD" w:rsidP="00A33DD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b/>
                <w:bCs/>
                <w:color w:val="000000"/>
              </w:rPr>
              <w:t>100%</w:t>
            </w:r>
          </w:p>
        </w:tc>
      </w:tr>
    </w:tbl>
    <w:p w14:paraId="7290C3DD" w14:textId="7B28B839" w:rsidR="00DC0E4D" w:rsidRDefault="00DC0E4D" w:rsidP="00CA73A0">
      <w:pPr>
        <w:rPr>
          <w:i/>
          <w:sz w:val="20"/>
          <w:szCs w:val="20"/>
        </w:rPr>
      </w:pPr>
      <w:r w:rsidRPr="00D7456E">
        <w:rPr>
          <w:i/>
          <w:sz w:val="20"/>
          <w:szCs w:val="20"/>
        </w:rPr>
        <w:t xml:space="preserve">Table </w:t>
      </w:r>
      <w:r w:rsidR="00536DE2">
        <w:rPr>
          <w:i/>
          <w:sz w:val="20"/>
          <w:szCs w:val="20"/>
        </w:rPr>
        <w:t>4</w:t>
      </w:r>
      <w:r w:rsidRPr="00D7456E">
        <w:rPr>
          <w:i/>
          <w:sz w:val="20"/>
          <w:szCs w:val="20"/>
        </w:rPr>
        <w:t xml:space="preserve">: Estimated </w:t>
      </w:r>
      <w:r w:rsidR="00B56A3C">
        <w:rPr>
          <w:i/>
          <w:sz w:val="20"/>
          <w:szCs w:val="20"/>
        </w:rPr>
        <w:t>number of</w:t>
      </w:r>
      <w:r w:rsidRPr="00D7456E">
        <w:rPr>
          <w:i/>
          <w:sz w:val="20"/>
          <w:szCs w:val="20"/>
        </w:rPr>
        <w:t xml:space="preserve"> overnight trips in Armagh City, Banbridge and Craigavon Borough</w:t>
      </w:r>
      <w:r w:rsidR="00CA73A0" w:rsidRPr="00D7456E">
        <w:rPr>
          <w:i/>
          <w:sz w:val="20"/>
          <w:szCs w:val="20"/>
        </w:rPr>
        <w:t xml:space="preserve"> and Northern Ireland</w:t>
      </w:r>
      <w:r w:rsidRPr="00D7456E">
        <w:rPr>
          <w:i/>
          <w:sz w:val="20"/>
          <w:szCs w:val="20"/>
        </w:rPr>
        <w:t xml:space="preserve"> by </w:t>
      </w:r>
      <w:r w:rsidR="00CA73A0" w:rsidRPr="00D7456E">
        <w:rPr>
          <w:i/>
          <w:sz w:val="20"/>
          <w:szCs w:val="20"/>
        </w:rPr>
        <w:t>origin</w:t>
      </w:r>
      <w:r w:rsidR="00163359">
        <w:rPr>
          <w:i/>
          <w:sz w:val="20"/>
          <w:szCs w:val="20"/>
        </w:rPr>
        <w:t xml:space="preserve"> of visitor</w:t>
      </w:r>
      <w:r w:rsidR="00CA73A0" w:rsidRPr="00D7456E">
        <w:rPr>
          <w:i/>
          <w:sz w:val="20"/>
          <w:szCs w:val="20"/>
        </w:rPr>
        <w:t xml:space="preserve">, </w:t>
      </w:r>
      <w:r w:rsidR="00B56A3C">
        <w:rPr>
          <w:i/>
          <w:sz w:val="20"/>
          <w:szCs w:val="20"/>
        </w:rPr>
        <w:t>2023</w:t>
      </w:r>
      <w:r w:rsidRPr="00D7456E">
        <w:rPr>
          <w:i/>
          <w:sz w:val="20"/>
          <w:szCs w:val="20"/>
        </w:rPr>
        <w:t>. Source: Tourism Statistics, NISRA.</w:t>
      </w:r>
      <w:r w:rsidR="004B5682" w:rsidRPr="00D7456E">
        <w:rPr>
          <w:i/>
          <w:sz w:val="20"/>
          <w:szCs w:val="20"/>
        </w:rPr>
        <w:t xml:space="preserve"> Please note percentages may not sum due to rounding.</w:t>
      </w:r>
    </w:p>
    <w:p w14:paraId="36B6F796" w14:textId="77777777" w:rsidR="00205E70" w:rsidRPr="00D7456E" w:rsidRDefault="00205E70" w:rsidP="00CA73A0">
      <w:pPr>
        <w:rPr>
          <w:i/>
          <w:sz w:val="20"/>
          <w:szCs w:val="20"/>
        </w:rPr>
      </w:pPr>
    </w:p>
    <w:p w14:paraId="24450A8A" w14:textId="5B49CEF6" w:rsidR="00D82855" w:rsidRPr="005F169E" w:rsidRDefault="00A33DDD" w:rsidP="0079173A">
      <w:pPr>
        <w:rPr>
          <w:i/>
          <w:color w:val="FF0000"/>
          <w:sz w:val="20"/>
          <w:szCs w:val="20"/>
        </w:rPr>
      </w:pPr>
      <w:r>
        <w:rPr>
          <w:noProof/>
        </w:rPr>
        <w:lastRenderedPageBreak/>
        <w:drawing>
          <wp:inline distT="0" distB="0" distL="0" distR="0" wp14:anchorId="6310DD58" wp14:editId="39959526">
            <wp:extent cx="5974422" cy="3191510"/>
            <wp:effectExtent l="0" t="0" r="7620" b="8890"/>
            <wp:docPr id="1912573135" name="Chart 1">
              <a:extLst xmlns:a="http://schemas.openxmlformats.org/drawingml/2006/main">
                <a:ext uri="{FF2B5EF4-FFF2-40B4-BE49-F238E27FC236}">
                  <a16:creationId xmlns:a16="http://schemas.microsoft.com/office/drawing/2014/main" id="{1A92F5F3-D782-88F5-F713-F920E12C37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79173A" w:rsidRPr="00205E70">
        <w:rPr>
          <w:i/>
          <w:sz w:val="20"/>
          <w:szCs w:val="20"/>
        </w:rPr>
        <w:t xml:space="preserve">Figure </w:t>
      </w:r>
      <w:r w:rsidR="00536DE2">
        <w:rPr>
          <w:i/>
          <w:sz w:val="20"/>
          <w:szCs w:val="20"/>
        </w:rPr>
        <w:t>3</w:t>
      </w:r>
      <w:r w:rsidR="0079173A" w:rsidRPr="00205E70">
        <w:rPr>
          <w:i/>
          <w:sz w:val="20"/>
          <w:szCs w:val="20"/>
        </w:rPr>
        <w:t>: Estimated overnight trips in Armagh City, Banbridge and Craigavon Borough</w:t>
      </w:r>
      <w:r w:rsidR="0028067A" w:rsidRPr="00205E70">
        <w:rPr>
          <w:i/>
          <w:sz w:val="20"/>
          <w:szCs w:val="20"/>
        </w:rPr>
        <w:t xml:space="preserve"> and Northern Ireland</w:t>
      </w:r>
      <w:r w:rsidR="0079173A" w:rsidRPr="00205E70">
        <w:rPr>
          <w:i/>
          <w:sz w:val="20"/>
          <w:szCs w:val="20"/>
        </w:rPr>
        <w:t xml:space="preserve"> by </w:t>
      </w:r>
      <w:r w:rsidR="00205E70" w:rsidRPr="00205E70">
        <w:rPr>
          <w:i/>
          <w:sz w:val="20"/>
          <w:szCs w:val="20"/>
        </w:rPr>
        <w:t>origin</w:t>
      </w:r>
      <w:r w:rsidR="00163359">
        <w:rPr>
          <w:i/>
          <w:sz w:val="20"/>
          <w:szCs w:val="20"/>
        </w:rPr>
        <w:t xml:space="preserve"> of visitor</w:t>
      </w:r>
      <w:r w:rsidR="00205E70" w:rsidRPr="00205E70">
        <w:rPr>
          <w:i/>
          <w:sz w:val="20"/>
          <w:szCs w:val="20"/>
        </w:rPr>
        <w:t xml:space="preserve">, </w:t>
      </w:r>
      <w:r w:rsidR="00870F89">
        <w:rPr>
          <w:i/>
          <w:sz w:val="20"/>
          <w:szCs w:val="20"/>
        </w:rPr>
        <w:t>2023</w:t>
      </w:r>
      <w:r w:rsidR="0079173A" w:rsidRPr="00205E70">
        <w:rPr>
          <w:i/>
          <w:sz w:val="20"/>
          <w:szCs w:val="20"/>
        </w:rPr>
        <w:t>. Source: Tourism Statistics, NISRA.</w:t>
      </w:r>
    </w:p>
    <w:p w14:paraId="34E5992B" w14:textId="77777777" w:rsidR="00201EBB" w:rsidRDefault="00201EBB" w:rsidP="00201EBB">
      <w:pPr>
        <w:rPr>
          <w:iCs/>
        </w:rPr>
      </w:pPr>
    </w:p>
    <w:p w14:paraId="07B209D5" w14:textId="7ED9F13C" w:rsidR="001464FA" w:rsidRPr="00163359" w:rsidRDefault="00163359" w:rsidP="0079173A">
      <w:pPr>
        <w:rPr>
          <w:iCs/>
        </w:rPr>
      </w:pPr>
      <w:r>
        <w:rPr>
          <w:iCs/>
        </w:rPr>
        <w:t>Of the estimated</w:t>
      </w:r>
      <w:r w:rsidR="00201EBB">
        <w:rPr>
          <w:iCs/>
        </w:rPr>
        <w:t xml:space="preserve"> £33.8 million spent in the Borough during overnight trips in 2023</w:t>
      </w:r>
      <w:r>
        <w:rPr>
          <w:iCs/>
        </w:rPr>
        <w:t>,</w:t>
      </w:r>
      <w:r w:rsidR="00201EBB">
        <w:rPr>
          <w:iCs/>
        </w:rPr>
        <w:t xml:space="preserve"> table</w:t>
      </w:r>
      <w:r>
        <w:rPr>
          <w:iCs/>
        </w:rPr>
        <w:t xml:space="preserve"> </w:t>
      </w:r>
      <w:r w:rsidR="00536DE2">
        <w:rPr>
          <w:iCs/>
        </w:rPr>
        <w:t>5</w:t>
      </w:r>
      <w:r w:rsidR="00201EBB">
        <w:rPr>
          <w:iCs/>
        </w:rPr>
        <w:t xml:space="preserve"> below presents this spend by </w:t>
      </w:r>
      <w:r>
        <w:rPr>
          <w:iCs/>
        </w:rPr>
        <w:t>origin of the visitor</w:t>
      </w:r>
      <w:r w:rsidR="00201EBB">
        <w:rPr>
          <w:iCs/>
        </w:rPr>
        <w:t xml:space="preserve">. </w:t>
      </w:r>
      <w:r>
        <w:rPr>
          <w:iCs/>
        </w:rPr>
        <w:t xml:space="preserve"> Visitors from other countries outside of Northern Ireland and Great Britain spent an estimated £13.</w:t>
      </w:r>
      <w:r w:rsidR="00CE1086">
        <w:rPr>
          <w:iCs/>
        </w:rPr>
        <w:t>3</w:t>
      </w:r>
      <w:r>
        <w:rPr>
          <w:iCs/>
        </w:rPr>
        <w:t xml:space="preserve">m which accounts for 39% of the total spend in the Borough during overnight trips.  Visitors from Great Britain accounted for 31% of total spend while visitors from Northern Ireland accounted for 30% of total spend during overnight trips in 2023.  In Northern Ireland overall, visitors from other countries spent an estimated £477m which accounts for 39% of total spend while visitors from Great Britain accounted for 38% of total spend and visitors from Northern Ireland accounted for 22% of total spend on overnight trips. </w:t>
      </w:r>
    </w:p>
    <w:tbl>
      <w:tblPr>
        <w:tblStyle w:val="GridTable1Light"/>
        <w:tblW w:w="9523" w:type="dxa"/>
        <w:tblLayout w:type="fixed"/>
        <w:tblLook w:val="04A0" w:firstRow="1" w:lastRow="0" w:firstColumn="1" w:lastColumn="0" w:noHBand="0" w:noVBand="1"/>
        <w:tblCaption w:val="Estimated average overnight trips in Armagh City, Banbridge and Craigavon Borough and Northern Ireland by place of origin, 3-year average 2017-2019"/>
      </w:tblPr>
      <w:tblGrid>
        <w:gridCol w:w="2405"/>
        <w:gridCol w:w="1779"/>
        <w:gridCol w:w="1780"/>
        <w:gridCol w:w="1779"/>
        <w:gridCol w:w="1780"/>
      </w:tblGrid>
      <w:tr w:rsidR="0054346E" w:rsidRPr="0054346E" w14:paraId="3433061E" w14:textId="77777777" w:rsidTr="0054346E">
        <w:trPr>
          <w:cnfStyle w:val="100000000000" w:firstRow="1" w:lastRow="0" w:firstColumn="0" w:lastColumn="0" w:oddVBand="0" w:evenVBand="0" w:oddHBand="0"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2405" w:type="dxa"/>
            <w:vMerge w:val="restart"/>
            <w:noWrap/>
            <w:hideMark/>
          </w:tcPr>
          <w:p w14:paraId="4A08C934" w14:textId="77777777" w:rsidR="0054346E" w:rsidRPr="0054346E" w:rsidRDefault="0054346E" w:rsidP="0054346E">
            <w:pPr>
              <w:rPr>
                <w:rFonts w:ascii="Calibri" w:eastAsia="Times New Roman" w:hAnsi="Calibri" w:cs="Calibri"/>
                <w:color w:val="000000"/>
                <w:lang w:eastAsia="en-GB"/>
              </w:rPr>
            </w:pPr>
            <w:r w:rsidRPr="0054346E">
              <w:rPr>
                <w:rFonts w:ascii="Calibri" w:eastAsia="Times New Roman" w:hAnsi="Calibri" w:cs="Calibri"/>
                <w:color w:val="000000"/>
                <w:lang w:eastAsia="en-GB"/>
              </w:rPr>
              <w:t> </w:t>
            </w:r>
          </w:p>
        </w:tc>
        <w:tc>
          <w:tcPr>
            <w:tcW w:w="3559" w:type="dxa"/>
            <w:gridSpan w:val="2"/>
            <w:hideMark/>
          </w:tcPr>
          <w:p w14:paraId="4E1BA3F6" w14:textId="77777777" w:rsidR="0054346E" w:rsidRPr="0054346E" w:rsidRDefault="0054346E" w:rsidP="0054346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4346E">
              <w:rPr>
                <w:rFonts w:ascii="Calibri" w:eastAsia="Times New Roman" w:hAnsi="Calibri" w:cs="Calibri"/>
                <w:color w:val="000000"/>
                <w:lang w:eastAsia="en-GB"/>
              </w:rPr>
              <w:t>Armagh City, Banbridge and Craigavon</w:t>
            </w:r>
          </w:p>
        </w:tc>
        <w:tc>
          <w:tcPr>
            <w:tcW w:w="3559" w:type="dxa"/>
            <w:gridSpan w:val="2"/>
            <w:hideMark/>
          </w:tcPr>
          <w:p w14:paraId="156DE691" w14:textId="77777777" w:rsidR="0054346E" w:rsidRPr="0054346E" w:rsidRDefault="0054346E" w:rsidP="0054346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54346E">
              <w:rPr>
                <w:rFonts w:ascii="Calibri" w:eastAsia="Times New Roman" w:hAnsi="Calibri" w:cs="Calibri"/>
                <w:color w:val="000000"/>
                <w:lang w:eastAsia="en-GB"/>
              </w:rPr>
              <w:t>Northern Ireland</w:t>
            </w:r>
          </w:p>
        </w:tc>
      </w:tr>
      <w:tr w:rsidR="0054346E" w:rsidRPr="0054346E" w14:paraId="37B82CAC" w14:textId="77777777" w:rsidTr="0054346E">
        <w:trPr>
          <w:trHeight w:val="540"/>
        </w:trPr>
        <w:tc>
          <w:tcPr>
            <w:cnfStyle w:val="001000000000" w:firstRow="0" w:lastRow="0" w:firstColumn="1" w:lastColumn="0" w:oddVBand="0" w:evenVBand="0" w:oddHBand="0" w:evenHBand="0" w:firstRowFirstColumn="0" w:firstRowLastColumn="0" w:lastRowFirstColumn="0" w:lastRowLastColumn="0"/>
            <w:tcW w:w="2405" w:type="dxa"/>
            <w:vMerge/>
            <w:hideMark/>
          </w:tcPr>
          <w:p w14:paraId="247E84A4" w14:textId="77777777" w:rsidR="0054346E" w:rsidRPr="0054346E" w:rsidRDefault="0054346E" w:rsidP="0054346E">
            <w:pPr>
              <w:rPr>
                <w:rFonts w:ascii="Calibri" w:eastAsia="Times New Roman" w:hAnsi="Calibri" w:cs="Calibri"/>
                <w:color w:val="000000"/>
                <w:lang w:eastAsia="en-GB"/>
              </w:rPr>
            </w:pPr>
          </w:p>
        </w:tc>
        <w:tc>
          <w:tcPr>
            <w:tcW w:w="1779" w:type="dxa"/>
            <w:hideMark/>
          </w:tcPr>
          <w:p w14:paraId="24B355F5"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54346E">
              <w:rPr>
                <w:rFonts w:ascii="Calibri" w:eastAsia="Times New Roman" w:hAnsi="Calibri" w:cs="Calibri"/>
                <w:b/>
                <w:bCs/>
                <w:color w:val="000000"/>
                <w:lang w:eastAsia="en-GB"/>
              </w:rPr>
              <w:t>Estimated Spend (£)</w:t>
            </w:r>
          </w:p>
        </w:tc>
        <w:tc>
          <w:tcPr>
            <w:tcW w:w="1780" w:type="dxa"/>
            <w:hideMark/>
          </w:tcPr>
          <w:p w14:paraId="0EF54B55"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54346E">
              <w:rPr>
                <w:rFonts w:ascii="Calibri" w:eastAsia="Times New Roman" w:hAnsi="Calibri" w:cs="Calibri"/>
                <w:b/>
                <w:bCs/>
                <w:color w:val="000000"/>
                <w:lang w:eastAsia="en-GB"/>
              </w:rPr>
              <w:t>%</w:t>
            </w:r>
          </w:p>
        </w:tc>
        <w:tc>
          <w:tcPr>
            <w:tcW w:w="1779" w:type="dxa"/>
            <w:hideMark/>
          </w:tcPr>
          <w:p w14:paraId="7357BF9C"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54346E">
              <w:rPr>
                <w:rFonts w:ascii="Calibri" w:eastAsia="Times New Roman" w:hAnsi="Calibri" w:cs="Calibri"/>
                <w:b/>
                <w:bCs/>
                <w:color w:val="000000"/>
                <w:lang w:eastAsia="en-GB"/>
              </w:rPr>
              <w:t>Estimated Spend (£)</w:t>
            </w:r>
          </w:p>
        </w:tc>
        <w:tc>
          <w:tcPr>
            <w:tcW w:w="1780" w:type="dxa"/>
            <w:hideMark/>
          </w:tcPr>
          <w:p w14:paraId="085ECBAC" w14:textId="77777777" w:rsidR="0054346E" w:rsidRPr="0054346E" w:rsidRDefault="0054346E" w:rsidP="005434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54346E">
              <w:rPr>
                <w:rFonts w:ascii="Calibri" w:eastAsia="Times New Roman" w:hAnsi="Calibri" w:cs="Calibri"/>
                <w:b/>
                <w:bCs/>
                <w:color w:val="000000"/>
                <w:lang w:eastAsia="en-GB"/>
              </w:rPr>
              <w:t>%</w:t>
            </w:r>
          </w:p>
        </w:tc>
      </w:tr>
      <w:tr w:rsidR="00CE1086" w:rsidRPr="0054346E" w14:paraId="119B5EF1" w14:textId="77777777" w:rsidTr="00CA5328">
        <w:trPr>
          <w:trHeight w:val="270"/>
        </w:trPr>
        <w:tc>
          <w:tcPr>
            <w:cnfStyle w:val="001000000000" w:firstRow="0" w:lastRow="0" w:firstColumn="1" w:lastColumn="0" w:oddVBand="0" w:evenVBand="0" w:oddHBand="0" w:evenHBand="0" w:firstRowFirstColumn="0" w:firstRowLastColumn="0" w:lastRowFirstColumn="0" w:lastRowLastColumn="0"/>
            <w:tcW w:w="2405" w:type="dxa"/>
            <w:noWrap/>
            <w:hideMark/>
          </w:tcPr>
          <w:p w14:paraId="2F969C40" w14:textId="77777777" w:rsidR="00CE1086" w:rsidRPr="0054346E" w:rsidRDefault="00CE1086" w:rsidP="00CE1086">
            <w:pPr>
              <w:rPr>
                <w:rFonts w:ascii="Calibri" w:eastAsia="Times New Roman" w:hAnsi="Calibri" w:cs="Calibri"/>
                <w:color w:val="000000"/>
                <w:lang w:eastAsia="en-GB"/>
              </w:rPr>
            </w:pPr>
            <w:r w:rsidRPr="0054346E">
              <w:rPr>
                <w:rFonts w:ascii="Calibri" w:eastAsia="Times New Roman" w:hAnsi="Calibri" w:cs="Calibri"/>
                <w:color w:val="000000"/>
                <w:lang w:eastAsia="en-GB"/>
              </w:rPr>
              <w:t>Northern Ireland</w:t>
            </w:r>
          </w:p>
        </w:tc>
        <w:tc>
          <w:tcPr>
            <w:tcW w:w="1779" w:type="dxa"/>
            <w:noWrap/>
            <w:vAlign w:val="center"/>
            <w:hideMark/>
          </w:tcPr>
          <w:p w14:paraId="3FF50DF4" w14:textId="199C42D0" w:rsidR="00CE1086" w:rsidRPr="0054346E" w:rsidRDefault="00CE1086" w:rsidP="00CE1086">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hAnsi="Aptos Narrow"/>
                <w:color w:val="000000"/>
              </w:rPr>
              <w:t>10,099,514</w:t>
            </w:r>
          </w:p>
        </w:tc>
        <w:tc>
          <w:tcPr>
            <w:tcW w:w="1780" w:type="dxa"/>
            <w:noWrap/>
            <w:vAlign w:val="center"/>
            <w:hideMark/>
          </w:tcPr>
          <w:p w14:paraId="37252727" w14:textId="363F86C0" w:rsidR="00CE1086" w:rsidRPr="0054346E" w:rsidRDefault="00CE1086" w:rsidP="00CE1086">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hAnsi="Aptos Narrow"/>
                <w:color w:val="000000"/>
              </w:rPr>
              <w:t>30%</w:t>
            </w:r>
          </w:p>
        </w:tc>
        <w:tc>
          <w:tcPr>
            <w:tcW w:w="1779" w:type="dxa"/>
            <w:noWrap/>
            <w:vAlign w:val="center"/>
            <w:hideMark/>
          </w:tcPr>
          <w:p w14:paraId="275BD105" w14:textId="1D62BA46" w:rsidR="00CE1086" w:rsidRPr="0054346E" w:rsidRDefault="00CE1086" w:rsidP="00CE1086">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hAnsi="Aptos Narrow"/>
                <w:color w:val="000000"/>
              </w:rPr>
              <w:t>272,163,481</w:t>
            </w:r>
          </w:p>
        </w:tc>
        <w:tc>
          <w:tcPr>
            <w:tcW w:w="1780" w:type="dxa"/>
            <w:noWrap/>
            <w:vAlign w:val="center"/>
            <w:hideMark/>
          </w:tcPr>
          <w:p w14:paraId="086E7C18" w14:textId="20EB0070" w:rsidR="00CE1086" w:rsidRPr="0054346E" w:rsidRDefault="00CE1086" w:rsidP="00CE1086">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hAnsi="Aptos Narrow"/>
                <w:color w:val="000000"/>
              </w:rPr>
              <w:t>22%</w:t>
            </w:r>
          </w:p>
        </w:tc>
      </w:tr>
      <w:tr w:rsidR="00CE1086" w:rsidRPr="0054346E" w14:paraId="0AECD308" w14:textId="77777777" w:rsidTr="00CA5328">
        <w:trPr>
          <w:trHeight w:val="270"/>
        </w:trPr>
        <w:tc>
          <w:tcPr>
            <w:cnfStyle w:val="001000000000" w:firstRow="0" w:lastRow="0" w:firstColumn="1" w:lastColumn="0" w:oddVBand="0" w:evenVBand="0" w:oddHBand="0" w:evenHBand="0" w:firstRowFirstColumn="0" w:firstRowLastColumn="0" w:lastRowFirstColumn="0" w:lastRowLastColumn="0"/>
            <w:tcW w:w="2405" w:type="dxa"/>
            <w:noWrap/>
            <w:hideMark/>
          </w:tcPr>
          <w:p w14:paraId="1095FC33" w14:textId="77777777" w:rsidR="00CE1086" w:rsidRPr="0054346E" w:rsidRDefault="00CE1086" w:rsidP="00CE1086">
            <w:pPr>
              <w:rPr>
                <w:rFonts w:ascii="Calibri" w:eastAsia="Times New Roman" w:hAnsi="Calibri" w:cs="Calibri"/>
                <w:color w:val="000000"/>
                <w:lang w:eastAsia="en-GB"/>
              </w:rPr>
            </w:pPr>
            <w:r w:rsidRPr="0054346E">
              <w:rPr>
                <w:rFonts w:ascii="Calibri" w:eastAsia="Times New Roman" w:hAnsi="Calibri" w:cs="Calibri"/>
                <w:color w:val="000000"/>
                <w:lang w:eastAsia="en-GB"/>
              </w:rPr>
              <w:t>Great Britain</w:t>
            </w:r>
          </w:p>
        </w:tc>
        <w:tc>
          <w:tcPr>
            <w:tcW w:w="1779" w:type="dxa"/>
            <w:noWrap/>
            <w:vAlign w:val="center"/>
            <w:hideMark/>
          </w:tcPr>
          <w:p w14:paraId="64F8F04A" w14:textId="2D49A235" w:rsidR="00CE1086" w:rsidRPr="0054346E" w:rsidRDefault="00CE1086" w:rsidP="00CE1086">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hAnsi="Aptos Narrow"/>
                <w:color w:val="000000"/>
              </w:rPr>
              <w:t>10,376,761</w:t>
            </w:r>
          </w:p>
        </w:tc>
        <w:tc>
          <w:tcPr>
            <w:tcW w:w="1780" w:type="dxa"/>
            <w:noWrap/>
            <w:vAlign w:val="center"/>
            <w:hideMark/>
          </w:tcPr>
          <w:p w14:paraId="3D2736D4" w14:textId="4DC082B5" w:rsidR="00CE1086" w:rsidRPr="0054346E" w:rsidRDefault="00CE1086" w:rsidP="00CE1086">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hAnsi="Aptos Narrow"/>
                <w:color w:val="000000"/>
              </w:rPr>
              <w:t>31%</w:t>
            </w:r>
          </w:p>
        </w:tc>
        <w:tc>
          <w:tcPr>
            <w:tcW w:w="1779" w:type="dxa"/>
            <w:noWrap/>
            <w:vAlign w:val="center"/>
            <w:hideMark/>
          </w:tcPr>
          <w:p w14:paraId="246F24BB" w14:textId="0FB9B72C" w:rsidR="00CE1086" w:rsidRPr="0054346E" w:rsidRDefault="00CE1086" w:rsidP="00CE1086">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hAnsi="Aptos Narrow"/>
                <w:color w:val="000000"/>
              </w:rPr>
              <w:t>462,534,902</w:t>
            </w:r>
          </w:p>
        </w:tc>
        <w:tc>
          <w:tcPr>
            <w:tcW w:w="1780" w:type="dxa"/>
            <w:noWrap/>
            <w:vAlign w:val="center"/>
            <w:hideMark/>
          </w:tcPr>
          <w:p w14:paraId="56E0D8DF" w14:textId="4E1158D0" w:rsidR="00CE1086" w:rsidRPr="0054346E" w:rsidRDefault="00CE1086" w:rsidP="00CE1086">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hAnsi="Aptos Narrow"/>
                <w:color w:val="000000"/>
              </w:rPr>
              <w:t>38%</w:t>
            </w:r>
          </w:p>
        </w:tc>
      </w:tr>
      <w:tr w:rsidR="00CE1086" w:rsidRPr="0054346E" w14:paraId="3BA2C768" w14:textId="77777777" w:rsidTr="00CA5328">
        <w:trPr>
          <w:trHeight w:val="270"/>
        </w:trPr>
        <w:tc>
          <w:tcPr>
            <w:cnfStyle w:val="001000000000" w:firstRow="0" w:lastRow="0" w:firstColumn="1" w:lastColumn="0" w:oddVBand="0" w:evenVBand="0" w:oddHBand="0" w:evenHBand="0" w:firstRowFirstColumn="0" w:firstRowLastColumn="0" w:lastRowFirstColumn="0" w:lastRowLastColumn="0"/>
            <w:tcW w:w="2405" w:type="dxa"/>
            <w:noWrap/>
            <w:hideMark/>
          </w:tcPr>
          <w:p w14:paraId="3A68A296" w14:textId="77777777" w:rsidR="00CE1086" w:rsidRPr="0054346E" w:rsidRDefault="00CE1086" w:rsidP="00CE1086">
            <w:pPr>
              <w:rPr>
                <w:rFonts w:ascii="Calibri" w:eastAsia="Times New Roman" w:hAnsi="Calibri" w:cs="Calibri"/>
                <w:color w:val="000000"/>
                <w:lang w:eastAsia="en-GB"/>
              </w:rPr>
            </w:pPr>
            <w:r w:rsidRPr="0054346E">
              <w:rPr>
                <w:rFonts w:ascii="Calibri" w:eastAsia="Times New Roman" w:hAnsi="Calibri" w:cs="Calibri"/>
                <w:color w:val="000000"/>
                <w:lang w:eastAsia="en-GB"/>
              </w:rPr>
              <w:t xml:space="preserve">Other </w:t>
            </w:r>
          </w:p>
        </w:tc>
        <w:tc>
          <w:tcPr>
            <w:tcW w:w="1779" w:type="dxa"/>
            <w:noWrap/>
            <w:vAlign w:val="center"/>
            <w:hideMark/>
          </w:tcPr>
          <w:p w14:paraId="5B3235AC" w14:textId="4417EDF8" w:rsidR="00CE1086" w:rsidRPr="0054346E" w:rsidRDefault="00CE1086" w:rsidP="00CE1086">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hAnsi="Aptos Narrow"/>
                <w:color w:val="000000"/>
              </w:rPr>
              <w:t>13,341,506</w:t>
            </w:r>
          </w:p>
        </w:tc>
        <w:tc>
          <w:tcPr>
            <w:tcW w:w="1780" w:type="dxa"/>
            <w:noWrap/>
            <w:vAlign w:val="center"/>
            <w:hideMark/>
          </w:tcPr>
          <w:p w14:paraId="3041F7E1" w14:textId="5DC64087" w:rsidR="00CE1086" w:rsidRPr="0054346E" w:rsidRDefault="00CE1086" w:rsidP="00CE1086">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hAnsi="Aptos Narrow"/>
                <w:color w:val="000000"/>
              </w:rPr>
              <w:t>39%</w:t>
            </w:r>
          </w:p>
        </w:tc>
        <w:tc>
          <w:tcPr>
            <w:tcW w:w="1779" w:type="dxa"/>
            <w:noWrap/>
            <w:vAlign w:val="center"/>
            <w:hideMark/>
          </w:tcPr>
          <w:p w14:paraId="6DCF37E5" w14:textId="1F4C5A2B" w:rsidR="00CE1086" w:rsidRPr="0054346E" w:rsidRDefault="00CE1086" w:rsidP="00CE1086">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hAnsi="Aptos Narrow"/>
                <w:color w:val="000000"/>
              </w:rPr>
              <w:t>477,114,230</w:t>
            </w:r>
          </w:p>
        </w:tc>
        <w:tc>
          <w:tcPr>
            <w:tcW w:w="1780" w:type="dxa"/>
            <w:noWrap/>
            <w:vAlign w:val="center"/>
            <w:hideMark/>
          </w:tcPr>
          <w:p w14:paraId="41A03F22" w14:textId="64097C29" w:rsidR="00CE1086" w:rsidRPr="0054346E" w:rsidRDefault="00CE1086" w:rsidP="00CE1086">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hAnsi="Aptos Narrow"/>
                <w:color w:val="000000"/>
              </w:rPr>
              <w:t>39%</w:t>
            </w:r>
          </w:p>
        </w:tc>
      </w:tr>
      <w:tr w:rsidR="00CE1086" w:rsidRPr="0054346E" w14:paraId="26C8DDD1" w14:textId="77777777" w:rsidTr="00CA5328">
        <w:trPr>
          <w:trHeight w:val="270"/>
        </w:trPr>
        <w:tc>
          <w:tcPr>
            <w:cnfStyle w:val="001000000000" w:firstRow="0" w:lastRow="0" w:firstColumn="1" w:lastColumn="0" w:oddVBand="0" w:evenVBand="0" w:oddHBand="0" w:evenHBand="0" w:firstRowFirstColumn="0" w:firstRowLastColumn="0" w:lastRowFirstColumn="0" w:lastRowLastColumn="0"/>
            <w:tcW w:w="2405" w:type="dxa"/>
            <w:noWrap/>
            <w:hideMark/>
          </w:tcPr>
          <w:p w14:paraId="6EC8A244" w14:textId="77777777" w:rsidR="00CE1086" w:rsidRPr="0054346E" w:rsidRDefault="00CE1086" w:rsidP="00CE1086">
            <w:pPr>
              <w:rPr>
                <w:rFonts w:ascii="Calibri" w:eastAsia="Times New Roman" w:hAnsi="Calibri" w:cs="Calibri"/>
                <w:color w:val="000000"/>
                <w:lang w:eastAsia="en-GB"/>
              </w:rPr>
            </w:pPr>
            <w:r w:rsidRPr="0054346E">
              <w:rPr>
                <w:rFonts w:ascii="Calibri" w:eastAsia="Times New Roman" w:hAnsi="Calibri" w:cs="Calibri"/>
                <w:color w:val="000000"/>
                <w:lang w:eastAsia="en-GB"/>
              </w:rPr>
              <w:t>All</w:t>
            </w:r>
          </w:p>
        </w:tc>
        <w:tc>
          <w:tcPr>
            <w:tcW w:w="1779" w:type="dxa"/>
            <w:noWrap/>
            <w:vAlign w:val="center"/>
            <w:hideMark/>
          </w:tcPr>
          <w:p w14:paraId="22060177" w14:textId="556241B5" w:rsidR="00CE1086" w:rsidRPr="0054346E" w:rsidRDefault="00CE1086" w:rsidP="00CE1086">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hAnsi="Aptos Narrow"/>
                <w:color w:val="000000"/>
              </w:rPr>
              <w:t>33,817,781</w:t>
            </w:r>
          </w:p>
        </w:tc>
        <w:tc>
          <w:tcPr>
            <w:tcW w:w="1780" w:type="dxa"/>
            <w:noWrap/>
            <w:vAlign w:val="center"/>
            <w:hideMark/>
          </w:tcPr>
          <w:p w14:paraId="5B730852" w14:textId="79E6A0B7" w:rsidR="00CE1086" w:rsidRPr="0054346E" w:rsidRDefault="00CE1086" w:rsidP="00CE1086">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hAnsi="Aptos Narrow"/>
                <w:color w:val="000000"/>
              </w:rPr>
              <w:t>100%</w:t>
            </w:r>
          </w:p>
        </w:tc>
        <w:tc>
          <w:tcPr>
            <w:tcW w:w="1779" w:type="dxa"/>
            <w:noWrap/>
            <w:vAlign w:val="center"/>
            <w:hideMark/>
          </w:tcPr>
          <w:p w14:paraId="671326AD" w14:textId="53F21D3C" w:rsidR="00CE1086" w:rsidRPr="0054346E" w:rsidRDefault="00CE1086" w:rsidP="00CE1086">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hAnsi="Aptos Narrow"/>
                <w:color w:val="000000"/>
              </w:rPr>
              <w:t>1,211,812,613</w:t>
            </w:r>
          </w:p>
        </w:tc>
        <w:tc>
          <w:tcPr>
            <w:tcW w:w="1780" w:type="dxa"/>
            <w:noWrap/>
            <w:vAlign w:val="center"/>
            <w:hideMark/>
          </w:tcPr>
          <w:p w14:paraId="64BFA279" w14:textId="7A4C8CB9" w:rsidR="00CE1086" w:rsidRPr="0054346E" w:rsidRDefault="00CE1086" w:rsidP="00CE1086">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Pr>
                <w:rFonts w:ascii="Aptos Narrow" w:hAnsi="Aptos Narrow"/>
                <w:color w:val="000000"/>
              </w:rPr>
              <w:t>100%</w:t>
            </w:r>
          </w:p>
        </w:tc>
      </w:tr>
    </w:tbl>
    <w:p w14:paraId="181EE5E2" w14:textId="2BDFBDF7" w:rsidR="0054346E" w:rsidRDefault="0054346E" w:rsidP="0054346E">
      <w:pPr>
        <w:rPr>
          <w:i/>
          <w:sz w:val="20"/>
          <w:szCs w:val="20"/>
        </w:rPr>
      </w:pPr>
      <w:r w:rsidRPr="00D7456E">
        <w:rPr>
          <w:i/>
          <w:sz w:val="20"/>
          <w:szCs w:val="20"/>
        </w:rPr>
        <w:t xml:space="preserve">Table </w:t>
      </w:r>
      <w:r w:rsidR="00536DE2">
        <w:rPr>
          <w:i/>
          <w:sz w:val="20"/>
          <w:szCs w:val="20"/>
        </w:rPr>
        <w:t>5</w:t>
      </w:r>
      <w:r w:rsidRPr="00D7456E">
        <w:rPr>
          <w:i/>
          <w:sz w:val="20"/>
          <w:szCs w:val="20"/>
        </w:rPr>
        <w:t xml:space="preserve">: Estimated </w:t>
      </w:r>
      <w:r>
        <w:rPr>
          <w:i/>
          <w:sz w:val="20"/>
          <w:szCs w:val="20"/>
        </w:rPr>
        <w:t>spend during</w:t>
      </w:r>
      <w:r w:rsidRPr="00D7456E">
        <w:rPr>
          <w:i/>
          <w:sz w:val="20"/>
          <w:szCs w:val="20"/>
        </w:rPr>
        <w:t xml:space="preserve"> overnight trips in Armagh City, Banbridge and Craigavon Borough and Northern Ireland by origin</w:t>
      </w:r>
      <w:r w:rsidR="00163359">
        <w:rPr>
          <w:i/>
          <w:sz w:val="20"/>
          <w:szCs w:val="20"/>
        </w:rPr>
        <w:t xml:space="preserve"> of visitor</w:t>
      </w:r>
      <w:r w:rsidRPr="00D7456E">
        <w:rPr>
          <w:i/>
          <w:sz w:val="20"/>
          <w:szCs w:val="20"/>
        </w:rPr>
        <w:t xml:space="preserve">, </w:t>
      </w:r>
      <w:r>
        <w:rPr>
          <w:i/>
          <w:sz w:val="20"/>
          <w:szCs w:val="20"/>
        </w:rPr>
        <w:t>2023</w:t>
      </w:r>
      <w:r w:rsidRPr="00D7456E">
        <w:rPr>
          <w:i/>
          <w:sz w:val="20"/>
          <w:szCs w:val="20"/>
        </w:rPr>
        <w:t>. Source: Tourism Statistics, NISRA. Please note percentages may not sum due to rounding.</w:t>
      </w:r>
    </w:p>
    <w:p w14:paraId="66E4E159" w14:textId="77777777" w:rsidR="0093320A" w:rsidRDefault="0093320A" w:rsidP="0079173A">
      <w:pPr>
        <w:rPr>
          <w:i/>
          <w:color w:val="FF0000"/>
          <w:sz w:val="20"/>
          <w:szCs w:val="20"/>
        </w:rPr>
      </w:pPr>
    </w:p>
    <w:p w14:paraId="7E67AFE5" w14:textId="77777777" w:rsidR="005B4DAB" w:rsidRDefault="005B4DAB" w:rsidP="0079173A">
      <w:pPr>
        <w:rPr>
          <w:i/>
          <w:color w:val="FF0000"/>
          <w:sz w:val="20"/>
          <w:szCs w:val="20"/>
        </w:rPr>
      </w:pPr>
    </w:p>
    <w:p w14:paraId="5E668301" w14:textId="77777777" w:rsidR="005B4DAB" w:rsidRDefault="005B4DAB" w:rsidP="0079173A">
      <w:pPr>
        <w:rPr>
          <w:i/>
          <w:color w:val="FF0000"/>
          <w:sz w:val="20"/>
          <w:szCs w:val="20"/>
        </w:rPr>
      </w:pPr>
    </w:p>
    <w:p w14:paraId="6ACD0BD9" w14:textId="77777777" w:rsidR="005B4DAB" w:rsidRDefault="005B4DAB" w:rsidP="0079173A">
      <w:pPr>
        <w:rPr>
          <w:i/>
          <w:color w:val="FF0000"/>
          <w:sz w:val="20"/>
          <w:szCs w:val="20"/>
        </w:rPr>
      </w:pPr>
    </w:p>
    <w:p w14:paraId="2CBD8AC7" w14:textId="77777777" w:rsidR="005B4DAB" w:rsidRDefault="005B4DAB" w:rsidP="0079173A">
      <w:pPr>
        <w:rPr>
          <w:i/>
          <w:color w:val="FF0000"/>
          <w:sz w:val="20"/>
          <w:szCs w:val="20"/>
        </w:rPr>
      </w:pPr>
    </w:p>
    <w:p w14:paraId="6900E6BD" w14:textId="30DB9DB0" w:rsidR="005B4DAB" w:rsidRDefault="00BB3DD5" w:rsidP="005B4DAB">
      <w:pPr>
        <w:rPr>
          <w:b/>
        </w:rPr>
      </w:pPr>
      <w:r>
        <w:rPr>
          <w:b/>
        </w:rPr>
        <w:lastRenderedPageBreak/>
        <w:t xml:space="preserve">Tourism </w:t>
      </w:r>
      <w:r w:rsidR="005B4DAB">
        <w:rPr>
          <w:b/>
        </w:rPr>
        <w:t>Economic Statistics</w:t>
      </w:r>
    </w:p>
    <w:p w14:paraId="62A0E069" w14:textId="77777777" w:rsidR="005B4DAB" w:rsidRPr="003768C9" w:rsidRDefault="005B4DAB" w:rsidP="005B4DAB">
      <w:pPr>
        <w:rPr>
          <w:bCs/>
        </w:rPr>
      </w:pPr>
      <w:proofErr w:type="gramStart"/>
      <w:r w:rsidRPr="00C9062F">
        <w:rPr>
          <w:bCs/>
        </w:rPr>
        <w:t>At</w:t>
      </w:r>
      <w:proofErr w:type="gramEnd"/>
      <w:r w:rsidRPr="00C9062F">
        <w:rPr>
          <w:bCs/>
        </w:rPr>
        <w:t xml:space="preserve"> March 2023 there were 540 tourism businesses operating in Armagh City, Banbridge and Craigavon Borough </w:t>
      </w:r>
      <w:r>
        <w:rPr>
          <w:bCs/>
        </w:rPr>
        <w:t xml:space="preserve">which accounted for 9.2% of the total tourism businesses operating in Northern Ireland (5,845). As can be seen in the chart below, the number of tourism businesses has been gradually increasing over the years in the Borough. When expressed as a percentage of the total in Northern Ireland, this has remained fairly consistent accounting for approximately 9% of the total tourism businesses in Northern Ireland each year.  </w:t>
      </w:r>
    </w:p>
    <w:p w14:paraId="50CE10BB" w14:textId="46ECDB32" w:rsidR="005B4DAB" w:rsidRDefault="005B4DAB" w:rsidP="005B4DAB">
      <w:pPr>
        <w:rPr>
          <w:bCs/>
          <w:i/>
          <w:iCs/>
          <w:sz w:val="20"/>
          <w:szCs w:val="20"/>
        </w:rPr>
      </w:pPr>
      <w:r>
        <w:rPr>
          <w:noProof/>
        </w:rPr>
        <w:drawing>
          <wp:inline distT="0" distB="0" distL="0" distR="0" wp14:anchorId="073384D7" wp14:editId="5E7BD29E">
            <wp:extent cx="5600700" cy="2461260"/>
            <wp:effectExtent l="0" t="0" r="0" b="15240"/>
            <wp:docPr id="2017843058" name="Chart 1">
              <a:extLst xmlns:a="http://schemas.openxmlformats.org/drawingml/2006/main">
                <a:ext uri="{FF2B5EF4-FFF2-40B4-BE49-F238E27FC236}">
                  <a16:creationId xmlns:a16="http://schemas.microsoft.com/office/drawing/2014/main" id="{FFE1C911-6407-5E39-E199-4D0E1AAB5B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bCs/>
          <w:i/>
          <w:iCs/>
          <w:sz w:val="20"/>
          <w:szCs w:val="20"/>
        </w:rPr>
        <w:t>Figure</w:t>
      </w:r>
      <w:r w:rsidRPr="00C9062F">
        <w:rPr>
          <w:bCs/>
          <w:i/>
          <w:iCs/>
          <w:sz w:val="20"/>
          <w:szCs w:val="20"/>
        </w:rPr>
        <w:t xml:space="preserve"> </w:t>
      </w:r>
      <w:r w:rsidR="00536DE2">
        <w:rPr>
          <w:bCs/>
          <w:i/>
          <w:iCs/>
          <w:sz w:val="20"/>
          <w:szCs w:val="20"/>
        </w:rPr>
        <w:t>4</w:t>
      </w:r>
      <w:r w:rsidRPr="00C9062F">
        <w:rPr>
          <w:bCs/>
          <w:i/>
          <w:iCs/>
          <w:sz w:val="20"/>
          <w:szCs w:val="20"/>
        </w:rPr>
        <w:t>: Number of tourism businesses operating in Armagh City, Banbridge and Craigavon Borough, 2015-2023.  Source: Interdepartmental Business Register (NI Tourism Annual Publication)</w:t>
      </w:r>
    </w:p>
    <w:p w14:paraId="0C64C80E" w14:textId="77777777" w:rsidR="005B4DAB" w:rsidRDefault="005B4DAB" w:rsidP="005B4DAB">
      <w:pPr>
        <w:rPr>
          <w:bCs/>
        </w:rPr>
      </w:pPr>
      <w:r>
        <w:rPr>
          <w:bCs/>
        </w:rPr>
        <w:t xml:space="preserve">With regards the number of tourism jobs in Armagh City, Banbridge and Craigavon Borough, in 2022, this was estimated at 5,364 which was an increase of 11.3% on the total number of tourism jobs in the Borough in 2021 and the second largest increase after Lisburn and Castlereagh.  When expressed as a percentage of the total number of tourism jobs in Northern Ireland, the Borough accounts for just 7.6% of all tourism jobs.  As expected, Belfast accounts for the highest percentage of tourism jobs at 30.4% in 2022.  </w:t>
      </w:r>
    </w:p>
    <w:p w14:paraId="3E04FCC1" w14:textId="77777777" w:rsidR="00B776B0" w:rsidRDefault="00B776B0" w:rsidP="005B4DAB">
      <w:pPr>
        <w:rPr>
          <w:bCs/>
        </w:rPr>
      </w:pPr>
    </w:p>
    <w:tbl>
      <w:tblPr>
        <w:tblStyle w:val="GridTable1Light"/>
        <w:tblW w:w="8240" w:type="dxa"/>
        <w:tblLook w:val="04A0" w:firstRow="1" w:lastRow="0" w:firstColumn="1" w:lastColumn="0" w:noHBand="0" w:noVBand="1"/>
      </w:tblPr>
      <w:tblGrid>
        <w:gridCol w:w="4580"/>
        <w:gridCol w:w="1220"/>
        <w:gridCol w:w="1220"/>
        <w:gridCol w:w="1220"/>
      </w:tblGrid>
      <w:tr w:rsidR="005B4DAB" w:rsidRPr="002F3A8A" w14:paraId="27A8C4FF" w14:textId="77777777" w:rsidTr="005F30D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80" w:type="dxa"/>
            <w:noWrap/>
            <w:hideMark/>
          </w:tcPr>
          <w:p w14:paraId="115B66B4" w14:textId="77777777" w:rsidR="005B4DAB" w:rsidRPr="002F3A8A" w:rsidRDefault="005B4DAB" w:rsidP="005F30DD">
            <w:pPr>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District Council Area</w:t>
            </w:r>
          </w:p>
        </w:tc>
        <w:tc>
          <w:tcPr>
            <w:tcW w:w="1220" w:type="dxa"/>
            <w:hideMark/>
          </w:tcPr>
          <w:p w14:paraId="7A7FC1E8" w14:textId="77777777" w:rsidR="005B4DAB" w:rsidRPr="002F3A8A" w:rsidRDefault="005B4DAB" w:rsidP="005F30DD">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2021</w:t>
            </w:r>
          </w:p>
        </w:tc>
        <w:tc>
          <w:tcPr>
            <w:tcW w:w="1220" w:type="dxa"/>
            <w:hideMark/>
          </w:tcPr>
          <w:p w14:paraId="123EDC2B" w14:textId="77777777" w:rsidR="005B4DAB" w:rsidRPr="002F3A8A" w:rsidRDefault="005B4DAB" w:rsidP="005F30DD">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2022</w:t>
            </w:r>
          </w:p>
        </w:tc>
        <w:tc>
          <w:tcPr>
            <w:tcW w:w="1220" w:type="dxa"/>
            <w:noWrap/>
            <w:hideMark/>
          </w:tcPr>
          <w:p w14:paraId="10910CE7" w14:textId="77777777" w:rsidR="005B4DAB" w:rsidRPr="002F3A8A" w:rsidRDefault="005B4DAB" w:rsidP="005F30DD">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 xml:space="preserve">% Change </w:t>
            </w:r>
          </w:p>
        </w:tc>
      </w:tr>
      <w:tr w:rsidR="005B4DAB" w:rsidRPr="002F3A8A" w14:paraId="0954FB0B" w14:textId="77777777" w:rsidTr="005F30DD">
        <w:trPr>
          <w:trHeight w:val="300"/>
        </w:trPr>
        <w:tc>
          <w:tcPr>
            <w:cnfStyle w:val="001000000000" w:firstRow="0" w:lastRow="0" w:firstColumn="1" w:lastColumn="0" w:oddVBand="0" w:evenVBand="0" w:oddHBand="0" w:evenHBand="0" w:firstRowFirstColumn="0" w:firstRowLastColumn="0" w:lastRowFirstColumn="0" w:lastRowLastColumn="0"/>
            <w:tcW w:w="4580" w:type="dxa"/>
            <w:noWrap/>
            <w:hideMark/>
          </w:tcPr>
          <w:p w14:paraId="109A44A1" w14:textId="77777777" w:rsidR="005B4DAB" w:rsidRPr="002F3A8A" w:rsidRDefault="005B4DAB" w:rsidP="005F30DD">
            <w:pPr>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Antrim and Newtownabbey</w:t>
            </w:r>
          </w:p>
        </w:tc>
        <w:tc>
          <w:tcPr>
            <w:tcW w:w="1220" w:type="dxa"/>
            <w:noWrap/>
            <w:hideMark/>
          </w:tcPr>
          <w:p w14:paraId="09478DBD"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4,115</w:t>
            </w:r>
          </w:p>
        </w:tc>
        <w:tc>
          <w:tcPr>
            <w:tcW w:w="1220" w:type="dxa"/>
            <w:noWrap/>
            <w:hideMark/>
          </w:tcPr>
          <w:p w14:paraId="19153672"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4,538</w:t>
            </w:r>
          </w:p>
        </w:tc>
        <w:tc>
          <w:tcPr>
            <w:tcW w:w="1220" w:type="dxa"/>
            <w:noWrap/>
            <w:hideMark/>
          </w:tcPr>
          <w:p w14:paraId="5DD68263"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10.3%</w:t>
            </w:r>
          </w:p>
        </w:tc>
      </w:tr>
      <w:tr w:rsidR="005B4DAB" w:rsidRPr="002F3A8A" w14:paraId="208FCD33" w14:textId="77777777" w:rsidTr="005F30DD">
        <w:trPr>
          <w:trHeight w:val="300"/>
        </w:trPr>
        <w:tc>
          <w:tcPr>
            <w:cnfStyle w:val="001000000000" w:firstRow="0" w:lastRow="0" w:firstColumn="1" w:lastColumn="0" w:oddVBand="0" w:evenVBand="0" w:oddHBand="0" w:evenHBand="0" w:firstRowFirstColumn="0" w:firstRowLastColumn="0" w:lastRowFirstColumn="0" w:lastRowLastColumn="0"/>
            <w:tcW w:w="4580" w:type="dxa"/>
            <w:noWrap/>
            <w:hideMark/>
          </w:tcPr>
          <w:p w14:paraId="1C2F77C4" w14:textId="77777777" w:rsidR="005B4DAB" w:rsidRPr="002F3A8A" w:rsidRDefault="005B4DAB" w:rsidP="005F30DD">
            <w:pPr>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Ards and North Down</w:t>
            </w:r>
          </w:p>
        </w:tc>
        <w:tc>
          <w:tcPr>
            <w:tcW w:w="1220" w:type="dxa"/>
            <w:noWrap/>
            <w:hideMark/>
          </w:tcPr>
          <w:p w14:paraId="64125877"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5,358</w:t>
            </w:r>
          </w:p>
        </w:tc>
        <w:tc>
          <w:tcPr>
            <w:tcW w:w="1220" w:type="dxa"/>
            <w:noWrap/>
            <w:hideMark/>
          </w:tcPr>
          <w:p w14:paraId="2ED8CB43"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5,775</w:t>
            </w:r>
          </w:p>
        </w:tc>
        <w:tc>
          <w:tcPr>
            <w:tcW w:w="1220" w:type="dxa"/>
            <w:noWrap/>
            <w:hideMark/>
          </w:tcPr>
          <w:p w14:paraId="4DFA90BF"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7.8%</w:t>
            </w:r>
          </w:p>
        </w:tc>
      </w:tr>
      <w:tr w:rsidR="005B4DAB" w:rsidRPr="002F3A8A" w14:paraId="16D7B1BF" w14:textId="77777777" w:rsidTr="005F30DD">
        <w:trPr>
          <w:trHeight w:val="300"/>
        </w:trPr>
        <w:tc>
          <w:tcPr>
            <w:cnfStyle w:val="001000000000" w:firstRow="0" w:lastRow="0" w:firstColumn="1" w:lastColumn="0" w:oddVBand="0" w:evenVBand="0" w:oddHBand="0" w:evenHBand="0" w:firstRowFirstColumn="0" w:firstRowLastColumn="0" w:lastRowFirstColumn="0" w:lastRowLastColumn="0"/>
            <w:tcW w:w="4580" w:type="dxa"/>
            <w:noWrap/>
            <w:hideMark/>
          </w:tcPr>
          <w:p w14:paraId="47BFE0E3" w14:textId="77777777" w:rsidR="005B4DAB" w:rsidRPr="002F3A8A" w:rsidRDefault="005B4DAB" w:rsidP="005F30DD">
            <w:pPr>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Armagh City, Banbridge and Craigavon</w:t>
            </w:r>
          </w:p>
        </w:tc>
        <w:tc>
          <w:tcPr>
            <w:tcW w:w="1220" w:type="dxa"/>
            <w:noWrap/>
            <w:hideMark/>
          </w:tcPr>
          <w:p w14:paraId="2723499F"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4,821</w:t>
            </w:r>
          </w:p>
        </w:tc>
        <w:tc>
          <w:tcPr>
            <w:tcW w:w="1220" w:type="dxa"/>
            <w:noWrap/>
            <w:hideMark/>
          </w:tcPr>
          <w:p w14:paraId="0FCC147C"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5,364</w:t>
            </w:r>
          </w:p>
        </w:tc>
        <w:tc>
          <w:tcPr>
            <w:tcW w:w="1220" w:type="dxa"/>
            <w:noWrap/>
            <w:hideMark/>
          </w:tcPr>
          <w:p w14:paraId="233A839C"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11.3%</w:t>
            </w:r>
          </w:p>
        </w:tc>
      </w:tr>
      <w:tr w:rsidR="005B4DAB" w:rsidRPr="002F3A8A" w14:paraId="2FF6B8D8" w14:textId="77777777" w:rsidTr="005F30DD">
        <w:trPr>
          <w:trHeight w:val="300"/>
        </w:trPr>
        <w:tc>
          <w:tcPr>
            <w:cnfStyle w:val="001000000000" w:firstRow="0" w:lastRow="0" w:firstColumn="1" w:lastColumn="0" w:oddVBand="0" w:evenVBand="0" w:oddHBand="0" w:evenHBand="0" w:firstRowFirstColumn="0" w:firstRowLastColumn="0" w:lastRowFirstColumn="0" w:lastRowLastColumn="0"/>
            <w:tcW w:w="4580" w:type="dxa"/>
            <w:noWrap/>
            <w:hideMark/>
          </w:tcPr>
          <w:p w14:paraId="6BCA9718" w14:textId="77777777" w:rsidR="005B4DAB" w:rsidRPr="002F3A8A" w:rsidRDefault="005B4DAB" w:rsidP="005F30DD">
            <w:pPr>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Belfast</w:t>
            </w:r>
          </w:p>
        </w:tc>
        <w:tc>
          <w:tcPr>
            <w:tcW w:w="1220" w:type="dxa"/>
            <w:noWrap/>
            <w:hideMark/>
          </w:tcPr>
          <w:p w14:paraId="56136216"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19,500</w:t>
            </w:r>
          </w:p>
        </w:tc>
        <w:tc>
          <w:tcPr>
            <w:tcW w:w="1220" w:type="dxa"/>
            <w:noWrap/>
            <w:hideMark/>
          </w:tcPr>
          <w:p w14:paraId="40A6D543"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21,394</w:t>
            </w:r>
          </w:p>
        </w:tc>
        <w:tc>
          <w:tcPr>
            <w:tcW w:w="1220" w:type="dxa"/>
            <w:noWrap/>
            <w:hideMark/>
          </w:tcPr>
          <w:p w14:paraId="5B503B10"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9.7%</w:t>
            </w:r>
          </w:p>
        </w:tc>
      </w:tr>
      <w:tr w:rsidR="005B4DAB" w:rsidRPr="002F3A8A" w14:paraId="7FD3D4E2" w14:textId="77777777" w:rsidTr="005F30DD">
        <w:trPr>
          <w:trHeight w:val="300"/>
        </w:trPr>
        <w:tc>
          <w:tcPr>
            <w:cnfStyle w:val="001000000000" w:firstRow="0" w:lastRow="0" w:firstColumn="1" w:lastColumn="0" w:oddVBand="0" w:evenVBand="0" w:oddHBand="0" w:evenHBand="0" w:firstRowFirstColumn="0" w:firstRowLastColumn="0" w:lastRowFirstColumn="0" w:lastRowLastColumn="0"/>
            <w:tcW w:w="4580" w:type="dxa"/>
            <w:noWrap/>
            <w:hideMark/>
          </w:tcPr>
          <w:p w14:paraId="271DFCC1" w14:textId="77777777" w:rsidR="005B4DAB" w:rsidRPr="002F3A8A" w:rsidRDefault="005B4DAB" w:rsidP="005F30DD">
            <w:pPr>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Causeway Coast and Glens</w:t>
            </w:r>
          </w:p>
        </w:tc>
        <w:tc>
          <w:tcPr>
            <w:tcW w:w="1220" w:type="dxa"/>
            <w:noWrap/>
            <w:hideMark/>
          </w:tcPr>
          <w:p w14:paraId="44763A20"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5,094</w:t>
            </w:r>
          </w:p>
        </w:tc>
        <w:tc>
          <w:tcPr>
            <w:tcW w:w="1220" w:type="dxa"/>
            <w:noWrap/>
            <w:hideMark/>
          </w:tcPr>
          <w:p w14:paraId="06A0B871"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5,602</w:t>
            </w:r>
          </w:p>
        </w:tc>
        <w:tc>
          <w:tcPr>
            <w:tcW w:w="1220" w:type="dxa"/>
            <w:noWrap/>
            <w:hideMark/>
          </w:tcPr>
          <w:p w14:paraId="5ED08038"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10.0%</w:t>
            </w:r>
          </w:p>
        </w:tc>
      </w:tr>
      <w:tr w:rsidR="005B4DAB" w:rsidRPr="002F3A8A" w14:paraId="099B7544" w14:textId="77777777" w:rsidTr="005F30DD">
        <w:trPr>
          <w:trHeight w:val="300"/>
        </w:trPr>
        <w:tc>
          <w:tcPr>
            <w:cnfStyle w:val="001000000000" w:firstRow="0" w:lastRow="0" w:firstColumn="1" w:lastColumn="0" w:oddVBand="0" w:evenVBand="0" w:oddHBand="0" w:evenHBand="0" w:firstRowFirstColumn="0" w:firstRowLastColumn="0" w:lastRowFirstColumn="0" w:lastRowLastColumn="0"/>
            <w:tcW w:w="4580" w:type="dxa"/>
            <w:noWrap/>
            <w:hideMark/>
          </w:tcPr>
          <w:p w14:paraId="7C9ADB8F" w14:textId="77777777" w:rsidR="005B4DAB" w:rsidRPr="002F3A8A" w:rsidRDefault="005B4DAB" w:rsidP="005F30DD">
            <w:pPr>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Derry City and Strabane</w:t>
            </w:r>
          </w:p>
        </w:tc>
        <w:tc>
          <w:tcPr>
            <w:tcW w:w="1220" w:type="dxa"/>
            <w:noWrap/>
            <w:hideMark/>
          </w:tcPr>
          <w:p w14:paraId="5BE5E7B8"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5,150</w:t>
            </w:r>
          </w:p>
        </w:tc>
        <w:tc>
          <w:tcPr>
            <w:tcW w:w="1220" w:type="dxa"/>
            <w:noWrap/>
            <w:hideMark/>
          </w:tcPr>
          <w:p w14:paraId="1DF777E8"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5,230</w:t>
            </w:r>
          </w:p>
        </w:tc>
        <w:tc>
          <w:tcPr>
            <w:tcW w:w="1220" w:type="dxa"/>
            <w:noWrap/>
            <w:hideMark/>
          </w:tcPr>
          <w:p w14:paraId="39BFAEA3"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1.6%</w:t>
            </w:r>
          </w:p>
        </w:tc>
      </w:tr>
      <w:tr w:rsidR="005B4DAB" w:rsidRPr="002F3A8A" w14:paraId="161DD4B3" w14:textId="77777777" w:rsidTr="005F30DD">
        <w:trPr>
          <w:trHeight w:val="300"/>
        </w:trPr>
        <w:tc>
          <w:tcPr>
            <w:cnfStyle w:val="001000000000" w:firstRow="0" w:lastRow="0" w:firstColumn="1" w:lastColumn="0" w:oddVBand="0" w:evenVBand="0" w:oddHBand="0" w:evenHBand="0" w:firstRowFirstColumn="0" w:firstRowLastColumn="0" w:lastRowFirstColumn="0" w:lastRowLastColumn="0"/>
            <w:tcW w:w="4580" w:type="dxa"/>
            <w:noWrap/>
            <w:hideMark/>
          </w:tcPr>
          <w:p w14:paraId="2BEE6136" w14:textId="77777777" w:rsidR="005B4DAB" w:rsidRPr="002F3A8A" w:rsidRDefault="005B4DAB" w:rsidP="005F30DD">
            <w:pPr>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Fermanagh and Omagh</w:t>
            </w:r>
          </w:p>
        </w:tc>
        <w:tc>
          <w:tcPr>
            <w:tcW w:w="1220" w:type="dxa"/>
            <w:noWrap/>
            <w:hideMark/>
          </w:tcPr>
          <w:p w14:paraId="73140E3C"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3,680</w:t>
            </w:r>
          </w:p>
        </w:tc>
        <w:tc>
          <w:tcPr>
            <w:tcW w:w="1220" w:type="dxa"/>
            <w:noWrap/>
            <w:hideMark/>
          </w:tcPr>
          <w:p w14:paraId="637307C9"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3,679</w:t>
            </w:r>
          </w:p>
        </w:tc>
        <w:tc>
          <w:tcPr>
            <w:tcW w:w="1220" w:type="dxa"/>
            <w:noWrap/>
            <w:hideMark/>
          </w:tcPr>
          <w:p w14:paraId="4EFE8AC0"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0.0%</w:t>
            </w:r>
          </w:p>
        </w:tc>
      </w:tr>
      <w:tr w:rsidR="005B4DAB" w:rsidRPr="002F3A8A" w14:paraId="3A91B717" w14:textId="77777777" w:rsidTr="005F30DD">
        <w:trPr>
          <w:trHeight w:val="300"/>
        </w:trPr>
        <w:tc>
          <w:tcPr>
            <w:cnfStyle w:val="001000000000" w:firstRow="0" w:lastRow="0" w:firstColumn="1" w:lastColumn="0" w:oddVBand="0" w:evenVBand="0" w:oddHBand="0" w:evenHBand="0" w:firstRowFirstColumn="0" w:firstRowLastColumn="0" w:lastRowFirstColumn="0" w:lastRowLastColumn="0"/>
            <w:tcW w:w="4580" w:type="dxa"/>
            <w:noWrap/>
            <w:hideMark/>
          </w:tcPr>
          <w:p w14:paraId="11758E8D" w14:textId="77777777" w:rsidR="005B4DAB" w:rsidRPr="002F3A8A" w:rsidRDefault="005B4DAB" w:rsidP="005F30DD">
            <w:pPr>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Lisburn and Castlereagh</w:t>
            </w:r>
          </w:p>
        </w:tc>
        <w:tc>
          <w:tcPr>
            <w:tcW w:w="1220" w:type="dxa"/>
            <w:noWrap/>
            <w:hideMark/>
          </w:tcPr>
          <w:p w14:paraId="65EA818D"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4,190</w:t>
            </w:r>
          </w:p>
        </w:tc>
        <w:tc>
          <w:tcPr>
            <w:tcW w:w="1220" w:type="dxa"/>
            <w:noWrap/>
            <w:hideMark/>
          </w:tcPr>
          <w:p w14:paraId="7078DF41"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4,748</w:t>
            </w:r>
          </w:p>
        </w:tc>
        <w:tc>
          <w:tcPr>
            <w:tcW w:w="1220" w:type="dxa"/>
            <w:noWrap/>
            <w:hideMark/>
          </w:tcPr>
          <w:p w14:paraId="6819A311"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13.3%</w:t>
            </w:r>
          </w:p>
        </w:tc>
      </w:tr>
      <w:tr w:rsidR="005B4DAB" w:rsidRPr="002F3A8A" w14:paraId="30A98D51" w14:textId="77777777" w:rsidTr="005F30DD">
        <w:trPr>
          <w:trHeight w:val="300"/>
        </w:trPr>
        <w:tc>
          <w:tcPr>
            <w:cnfStyle w:val="001000000000" w:firstRow="0" w:lastRow="0" w:firstColumn="1" w:lastColumn="0" w:oddVBand="0" w:evenVBand="0" w:oddHBand="0" w:evenHBand="0" w:firstRowFirstColumn="0" w:firstRowLastColumn="0" w:lastRowFirstColumn="0" w:lastRowLastColumn="0"/>
            <w:tcW w:w="4580" w:type="dxa"/>
            <w:noWrap/>
            <w:hideMark/>
          </w:tcPr>
          <w:p w14:paraId="0329C720" w14:textId="77777777" w:rsidR="005B4DAB" w:rsidRPr="002F3A8A" w:rsidRDefault="005B4DAB" w:rsidP="005F30DD">
            <w:pPr>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Mid and East Antrim</w:t>
            </w:r>
          </w:p>
        </w:tc>
        <w:tc>
          <w:tcPr>
            <w:tcW w:w="1220" w:type="dxa"/>
            <w:noWrap/>
            <w:hideMark/>
          </w:tcPr>
          <w:p w14:paraId="74C8BAF6"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4,234</w:t>
            </w:r>
          </w:p>
        </w:tc>
        <w:tc>
          <w:tcPr>
            <w:tcW w:w="1220" w:type="dxa"/>
            <w:noWrap/>
            <w:hideMark/>
          </w:tcPr>
          <w:p w14:paraId="53B9733E"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4,224</w:t>
            </w:r>
          </w:p>
        </w:tc>
        <w:tc>
          <w:tcPr>
            <w:tcW w:w="1220" w:type="dxa"/>
            <w:noWrap/>
            <w:hideMark/>
          </w:tcPr>
          <w:p w14:paraId="0C86F675"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-0.2%</w:t>
            </w:r>
          </w:p>
        </w:tc>
      </w:tr>
      <w:tr w:rsidR="005B4DAB" w:rsidRPr="002F3A8A" w14:paraId="0F8BAB31" w14:textId="77777777" w:rsidTr="005F30DD">
        <w:trPr>
          <w:trHeight w:val="300"/>
        </w:trPr>
        <w:tc>
          <w:tcPr>
            <w:cnfStyle w:val="001000000000" w:firstRow="0" w:lastRow="0" w:firstColumn="1" w:lastColumn="0" w:oddVBand="0" w:evenVBand="0" w:oddHBand="0" w:evenHBand="0" w:firstRowFirstColumn="0" w:firstRowLastColumn="0" w:lastRowFirstColumn="0" w:lastRowLastColumn="0"/>
            <w:tcW w:w="4580" w:type="dxa"/>
            <w:noWrap/>
            <w:hideMark/>
          </w:tcPr>
          <w:p w14:paraId="739F39B5" w14:textId="77777777" w:rsidR="005B4DAB" w:rsidRPr="002F3A8A" w:rsidRDefault="005B4DAB" w:rsidP="005F30DD">
            <w:pPr>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Mid Ulster</w:t>
            </w:r>
          </w:p>
        </w:tc>
        <w:tc>
          <w:tcPr>
            <w:tcW w:w="1220" w:type="dxa"/>
            <w:noWrap/>
            <w:hideMark/>
          </w:tcPr>
          <w:p w14:paraId="3E75DA6D"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3,554</w:t>
            </w:r>
          </w:p>
        </w:tc>
        <w:tc>
          <w:tcPr>
            <w:tcW w:w="1220" w:type="dxa"/>
            <w:noWrap/>
            <w:hideMark/>
          </w:tcPr>
          <w:p w14:paraId="4A49633C"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3,879</w:t>
            </w:r>
          </w:p>
        </w:tc>
        <w:tc>
          <w:tcPr>
            <w:tcW w:w="1220" w:type="dxa"/>
            <w:noWrap/>
            <w:hideMark/>
          </w:tcPr>
          <w:p w14:paraId="7C70D441"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9.1%</w:t>
            </w:r>
          </w:p>
        </w:tc>
      </w:tr>
      <w:tr w:rsidR="005B4DAB" w:rsidRPr="002F3A8A" w14:paraId="4F1FC91E" w14:textId="77777777" w:rsidTr="005F30DD">
        <w:trPr>
          <w:trHeight w:val="300"/>
        </w:trPr>
        <w:tc>
          <w:tcPr>
            <w:cnfStyle w:val="001000000000" w:firstRow="0" w:lastRow="0" w:firstColumn="1" w:lastColumn="0" w:oddVBand="0" w:evenVBand="0" w:oddHBand="0" w:evenHBand="0" w:firstRowFirstColumn="0" w:firstRowLastColumn="0" w:lastRowFirstColumn="0" w:lastRowLastColumn="0"/>
            <w:tcW w:w="4580" w:type="dxa"/>
            <w:noWrap/>
            <w:hideMark/>
          </w:tcPr>
          <w:p w14:paraId="7C3327BA" w14:textId="77777777" w:rsidR="005B4DAB" w:rsidRPr="002F3A8A" w:rsidRDefault="005B4DAB" w:rsidP="005F30DD">
            <w:pPr>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Newry, Mourne and Down</w:t>
            </w:r>
          </w:p>
        </w:tc>
        <w:tc>
          <w:tcPr>
            <w:tcW w:w="1220" w:type="dxa"/>
            <w:noWrap/>
            <w:hideMark/>
          </w:tcPr>
          <w:p w14:paraId="5187FBDC"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5,729</w:t>
            </w:r>
          </w:p>
        </w:tc>
        <w:tc>
          <w:tcPr>
            <w:tcW w:w="1220" w:type="dxa"/>
            <w:noWrap/>
            <w:hideMark/>
          </w:tcPr>
          <w:p w14:paraId="68D61956"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5,949</w:t>
            </w:r>
          </w:p>
        </w:tc>
        <w:tc>
          <w:tcPr>
            <w:tcW w:w="1220" w:type="dxa"/>
            <w:noWrap/>
            <w:hideMark/>
          </w:tcPr>
          <w:p w14:paraId="7896E017"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3.8%</w:t>
            </w:r>
          </w:p>
        </w:tc>
      </w:tr>
      <w:tr w:rsidR="005B4DAB" w:rsidRPr="002F3A8A" w14:paraId="4CF0D08C" w14:textId="77777777" w:rsidTr="005F30DD">
        <w:trPr>
          <w:trHeight w:val="300"/>
        </w:trPr>
        <w:tc>
          <w:tcPr>
            <w:cnfStyle w:val="001000000000" w:firstRow="0" w:lastRow="0" w:firstColumn="1" w:lastColumn="0" w:oddVBand="0" w:evenVBand="0" w:oddHBand="0" w:evenHBand="0" w:firstRowFirstColumn="0" w:firstRowLastColumn="0" w:lastRowFirstColumn="0" w:lastRowLastColumn="0"/>
            <w:tcW w:w="4580" w:type="dxa"/>
            <w:noWrap/>
            <w:hideMark/>
          </w:tcPr>
          <w:p w14:paraId="117359FF" w14:textId="77777777" w:rsidR="005B4DAB" w:rsidRPr="002F3A8A" w:rsidRDefault="005B4DAB" w:rsidP="005F30DD">
            <w:pPr>
              <w:rPr>
                <w:rFonts w:ascii="Aptos Narrow" w:eastAsia="Times New Roman" w:hAnsi="Aptos Narrow" w:cs="Times New Roman"/>
                <w:color w:val="000000"/>
                <w:lang w:eastAsia="en-GB"/>
              </w:rPr>
            </w:pPr>
            <w:r w:rsidRPr="002F3A8A">
              <w:rPr>
                <w:rFonts w:ascii="Aptos Narrow" w:eastAsia="Times New Roman" w:hAnsi="Aptos Narrow" w:cs="Times New Roman"/>
                <w:color w:val="000000"/>
                <w:lang w:eastAsia="en-GB"/>
              </w:rPr>
              <w:t>Northern Ireland</w:t>
            </w:r>
          </w:p>
        </w:tc>
        <w:tc>
          <w:tcPr>
            <w:tcW w:w="1220" w:type="dxa"/>
            <w:noWrap/>
            <w:hideMark/>
          </w:tcPr>
          <w:p w14:paraId="115033CD"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2F3A8A">
              <w:rPr>
                <w:rFonts w:ascii="Aptos Narrow" w:eastAsia="Times New Roman" w:hAnsi="Aptos Narrow" w:cs="Times New Roman"/>
                <w:b/>
                <w:bCs/>
                <w:color w:val="000000"/>
                <w:lang w:eastAsia="en-GB"/>
              </w:rPr>
              <w:t>65,425</w:t>
            </w:r>
          </w:p>
        </w:tc>
        <w:tc>
          <w:tcPr>
            <w:tcW w:w="1220" w:type="dxa"/>
            <w:noWrap/>
            <w:hideMark/>
          </w:tcPr>
          <w:p w14:paraId="4CE000BC"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2F3A8A">
              <w:rPr>
                <w:rFonts w:ascii="Aptos Narrow" w:eastAsia="Times New Roman" w:hAnsi="Aptos Narrow" w:cs="Times New Roman"/>
                <w:b/>
                <w:bCs/>
                <w:color w:val="000000"/>
                <w:lang w:eastAsia="en-GB"/>
              </w:rPr>
              <w:t>70,384</w:t>
            </w:r>
          </w:p>
        </w:tc>
        <w:tc>
          <w:tcPr>
            <w:tcW w:w="1220" w:type="dxa"/>
            <w:noWrap/>
            <w:hideMark/>
          </w:tcPr>
          <w:p w14:paraId="48890E27" w14:textId="77777777" w:rsidR="005B4DAB" w:rsidRPr="002F3A8A" w:rsidRDefault="005B4DAB" w:rsidP="005F30DD">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b/>
                <w:bCs/>
                <w:color w:val="000000"/>
                <w:lang w:eastAsia="en-GB"/>
              </w:rPr>
            </w:pPr>
            <w:r w:rsidRPr="002F3A8A">
              <w:rPr>
                <w:rFonts w:ascii="Aptos Narrow" w:eastAsia="Times New Roman" w:hAnsi="Aptos Narrow" w:cs="Times New Roman"/>
                <w:b/>
                <w:bCs/>
                <w:color w:val="000000"/>
                <w:lang w:eastAsia="en-GB"/>
              </w:rPr>
              <w:t>7.6%</w:t>
            </w:r>
          </w:p>
        </w:tc>
      </w:tr>
    </w:tbl>
    <w:p w14:paraId="4D7D77A8" w14:textId="077EBE00" w:rsidR="005B4DAB" w:rsidRDefault="005B4DAB" w:rsidP="005B4DAB">
      <w:pPr>
        <w:rPr>
          <w:bCs/>
          <w:i/>
          <w:iCs/>
          <w:sz w:val="20"/>
          <w:szCs w:val="20"/>
        </w:rPr>
      </w:pPr>
      <w:r>
        <w:rPr>
          <w:bCs/>
          <w:i/>
          <w:iCs/>
          <w:sz w:val="20"/>
          <w:szCs w:val="20"/>
        </w:rPr>
        <w:t xml:space="preserve">Table </w:t>
      </w:r>
      <w:r w:rsidR="00536DE2">
        <w:rPr>
          <w:bCs/>
          <w:i/>
          <w:iCs/>
          <w:sz w:val="20"/>
          <w:szCs w:val="20"/>
        </w:rPr>
        <w:t>6</w:t>
      </w:r>
      <w:r w:rsidRPr="00C9062F">
        <w:rPr>
          <w:bCs/>
          <w:i/>
          <w:iCs/>
          <w:sz w:val="20"/>
          <w:szCs w:val="20"/>
        </w:rPr>
        <w:t xml:space="preserve">: Number of tourism businesses </w:t>
      </w:r>
      <w:r>
        <w:rPr>
          <w:bCs/>
          <w:i/>
          <w:iCs/>
          <w:sz w:val="20"/>
          <w:szCs w:val="20"/>
        </w:rPr>
        <w:t>Jobs in Northern Ireland 2021 &amp; 2022</w:t>
      </w:r>
      <w:r w:rsidRPr="00C9062F">
        <w:rPr>
          <w:bCs/>
          <w:i/>
          <w:iCs/>
          <w:sz w:val="20"/>
          <w:szCs w:val="20"/>
        </w:rPr>
        <w:t xml:space="preserve">.  Source: Business Register </w:t>
      </w:r>
      <w:r>
        <w:rPr>
          <w:bCs/>
          <w:i/>
          <w:iCs/>
          <w:sz w:val="20"/>
          <w:szCs w:val="20"/>
        </w:rPr>
        <w:t xml:space="preserve">and Employment Survey </w:t>
      </w:r>
      <w:r w:rsidRPr="00C9062F">
        <w:rPr>
          <w:bCs/>
          <w:i/>
          <w:iCs/>
          <w:sz w:val="20"/>
          <w:szCs w:val="20"/>
        </w:rPr>
        <w:t>(NI Tourism Annual Publication)</w:t>
      </w:r>
    </w:p>
    <w:p w14:paraId="147608F6" w14:textId="0913A4DD" w:rsidR="005B4DAB" w:rsidRDefault="005B4DAB" w:rsidP="005B4DAB">
      <w:pPr>
        <w:rPr>
          <w:bCs/>
        </w:rPr>
      </w:pPr>
      <w:r w:rsidRPr="005B4DAB">
        <w:rPr>
          <w:bCs/>
        </w:rPr>
        <w:lastRenderedPageBreak/>
        <w:t>Of the 5,364 tourism jobs in Armagh City, Banbridge and Craigavon Borough</w:t>
      </w:r>
      <w:r w:rsidR="00B5666A">
        <w:rPr>
          <w:bCs/>
        </w:rPr>
        <w:t xml:space="preserve"> in 2022</w:t>
      </w:r>
      <w:r w:rsidRPr="005B4DAB">
        <w:rPr>
          <w:bCs/>
        </w:rPr>
        <w:t xml:space="preserve">, almost 65% </w:t>
      </w:r>
      <w:r>
        <w:rPr>
          <w:bCs/>
        </w:rPr>
        <w:t xml:space="preserve">or 3,485 jobs </w:t>
      </w:r>
      <w:r w:rsidRPr="005B4DAB">
        <w:rPr>
          <w:bCs/>
        </w:rPr>
        <w:t>were in food and beverage serving activities</w:t>
      </w:r>
      <w:r w:rsidR="00B5666A">
        <w:rPr>
          <w:bCs/>
        </w:rPr>
        <w:t>.  S</w:t>
      </w:r>
      <w:r w:rsidRPr="005B4DAB">
        <w:rPr>
          <w:bCs/>
        </w:rPr>
        <w:t>porting and recreational activities account</w:t>
      </w:r>
      <w:r w:rsidR="00B5666A">
        <w:rPr>
          <w:bCs/>
        </w:rPr>
        <w:t>ed</w:t>
      </w:r>
      <w:r w:rsidRPr="005B4DAB">
        <w:rPr>
          <w:bCs/>
        </w:rPr>
        <w:t xml:space="preserve"> for the next highest number with 797 (14%) jobs</w:t>
      </w:r>
      <w:r w:rsidR="00B5666A">
        <w:rPr>
          <w:bCs/>
        </w:rPr>
        <w:t xml:space="preserve"> despite the number of jobs in this sector having fallen since 2021.  Transport related jobs in the tourism sector fell by almost 6% between 2021 and 2022 with these jobs only accounting for 207 jobs in the Borough.  </w:t>
      </w:r>
    </w:p>
    <w:tbl>
      <w:tblPr>
        <w:tblStyle w:val="GridTable1Light"/>
        <w:tblW w:w="8834" w:type="dxa"/>
        <w:tblLayout w:type="fixed"/>
        <w:tblLook w:val="04A0" w:firstRow="1" w:lastRow="0" w:firstColumn="1" w:lastColumn="0" w:noHBand="0" w:noVBand="1"/>
      </w:tblPr>
      <w:tblGrid>
        <w:gridCol w:w="3539"/>
        <w:gridCol w:w="1323"/>
        <w:gridCol w:w="1324"/>
        <w:gridCol w:w="1324"/>
        <w:gridCol w:w="1324"/>
      </w:tblGrid>
      <w:tr w:rsidR="00B5666A" w:rsidRPr="00B5666A" w14:paraId="6DA60191" w14:textId="77777777" w:rsidTr="00B5666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A8A721A" w14:textId="77777777" w:rsidR="00B5666A" w:rsidRPr="00B5666A" w:rsidRDefault="00B5666A" w:rsidP="00B5666A">
            <w:pPr>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 </w:t>
            </w:r>
          </w:p>
        </w:tc>
        <w:tc>
          <w:tcPr>
            <w:tcW w:w="1323" w:type="dxa"/>
            <w:noWrap/>
            <w:hideMark/>
          </w:tcPr>
          <w:p w14:paraId="5C483891" w14:textId="77777777" w:rsidR="00B5666A" w:rsidRPr="00B5666A" w:rsidRDefault="00B5666A" w:rsidP="00B5666A">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2021</w:t>
            </w:r>
          </w:p>
        </w:tc>
        <w:tc>
          <w:tcPr>
            <w:tcW w:w="1324" w:type="dxa"/>
            <w:noWrap/>
            <w:hideMark/>
          </w:tcPr>
          <w:p w14:paraId="59AF0CCF" w14:textId="77777777" w:rsidR="00B5666A" w:rsidRPr="00B5666A" w:rsidRDefault="00B5666A" w:rsidP="00B5666A">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2022</w:t>
            </w:r>
          </w:p>
        </w:tc>
        <w:tc>
          <w:tcPr>
            <w:tcW w:w="1324" w:type="dxa"/>
            <w:noWrap/>
            <w:hideMark/>
          </w:tcPr>
          <w:p w14:paraId="2B8B3DE3" w14:textId="77777777" w:rsidR="00B5666A" w:rsidRPr="00B5666A" w:rsidRDefault="00B5666A" w:rsidP="00B5666A">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 Change</w:t>
            </w:r>
          </w:p>
        </w:tc>
        <w:tc>
          <w:tcPr>
            <w:tcW w:w="1324" w:type="dxa"/>
            <w:noWrap/>
            <w:hideMark/>
          </w:tcPr>
          <w:p w14:paraId="17D1FB65" w14:textId="77777777" w:rsidR="00B5666A" w:rsidRPr="00B5666A" w:rsidRDefault="00B5666A" w:rsidP="00B5666A">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ABC as % of NI</w:t>
            </w:r>
          </w:p>
        </w:tc>
      </w:tr>
      <w:tr w:rsidR="00B5666A" w:rsidRPr="00B5666A" w14:paraId="31F120C5" w14:textId="77777777" w:rsidTr="00B5666A">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14971A81" w14:textId="77777777" w:rsidR="00B5666A" w:rsidRPr="00B5666A" w:rsidRDefault="00B5666A" w:rsidP="00B5666A">
            <w:pPr>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Accommodation for Visitors</w:t>
            </w:r>
          </w:p>
        </w:tc>
        <w:tc>
          <w:tcPr>
            <w:tcW w:w="1323" w:type="dxa"/>
            <w:noWrap/>
            <w:hideMark/>
          </w:tcPr>
          <w:p w14:paraId="03E0800A"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502</w:t>
            </w:r>
          </w:p>
        </w:tc>
        <w:tc>
          <w:tcPr>
            <w:tcW w:w="1324" w:type="dxa"/>
            <w:noWrap/>
            <w:hideMark/>
          </w:tcPr>
          <w:p w14:paraId="569CA373"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523</w:t>
            </w:r>
          </w:p>
        </w:tc>
        <w:tc>
          <w:tcPr>
            <w:tcW w:w="1324" w:type="dxa"/>
            <w:noWrap/>
            <w:hideMark/>
          </w:tcPr>
          <w:p w14:paraId="523745DF"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4.2%</w:t>
            </w:r>
          </w:p>
        </w:tc>
        <w:tc>
          <w:tcPr>
            <w:tcW w:w="1324" w:type="dxa"/>
            <w:noWrap/>
            <w:hideMark/>
          </w:tcPr>
          <w:p w14:paraId="2D8066B6"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4.7%</w:t>
            </w:r>
          </w:p>
        </w:tc>
      </w:tr>
      <w:tr w:rsidR="00B5666A" w:rsidRPr="00B5666A" w14:paraId="7FBC79FC" w14:textId="77777777" w:rsidTr="00B5666A">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0A82F871" w14:textId="77777777" w:rsidR="00B5666A" w:rsidRPr="00B5666A" w:rsidRDefault="00B5666A" w:rsidP="00B5666A">
            <w:pPr>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Food and Beverage Serving Activities</w:t>
            </w:r>
          </w:p>
        </w:tc>
        <w:tc>
          <w:tcPr>
            <w:tcW w:w="1323" w:type="dxa"/>
            <w:noWrap/>
            <w:hideMark/>
          </w:tcPr>
          <w:p w14:paraId="5D81B67B"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3,087</w:t>
            </w:r>
          </w:p>
        </w:tc>
        <w:tc>
          <w:tcPr>
            <w:tcW w:w="1324" w:type="dxa"/>
            <w:noWrap/>
            <w:hideMark/>
          </w:tcPr>
          <w:p w14:paraId="544265B3"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3,485</w:t>
            </w:r>
          </w:p>
        </w:tc>
        <w:tc>
          <w:tcPr>
            <w:tcW w:w="1324" w:type="dxa"/>
            <w:noWrap/>
            <w:hideMark/>
          </w:tcPr>
          <w:p w14:paraId="124455C7"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12.9%</w:t>
            </w:r>
          </w:p>
        </w:tc>
        <w:tc>
          <w:tcPr>
            <w:tcW w:w="1324" w:type="dxa"/>
            <w:noWrap/>
            <w:hideMark/>
          </w:tcPr>
          <w:p w14:paraId="629B6D49"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8.4%</w:t>
            </w:r>
          </w:p>
        </w:tc>
      </w:tr>
      <w:tr w:rsidR="00B5666A" w:rsidRPr="00B5666A" w14:paraId="5A867B14" w14:textId="77777777" w:rsidTr="00B5666A">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CA0AB09" w14:textId="77777777" w:rsidR="00B5666A" w:rsidRPr="00B5666A" w:rsidRDefault="00B5666A" w:rsidP="00B5666A">
            <w:pPr>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Transport</w:t>
            </w:r>
          </w:p>
        </w:tc>
        <w:tc>
          <w:tcPr>
            <w:tcW w:w="1323" w:type="dxa"/>
            <w:noWrap/>
            <w:hideMark/>
          </w:tcPr>
          <w:p w14:paraId="3ACE6717"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220</w:t>
            </w:r>
          </w:p>
        </w:tc>
        <w:tc>
          <w:tcPr>
            <w:tcW w:w="1324" w:type="dxa"/>
            <w:noWrap/>
            <w:hideMark/>
          </w:tcPr>
          <w:p w14:paraId="1B55A9B6"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207</w:t>
            </w:r>
          </w:p>
        </w:tc>
        <w:tc>
          <w:tcPr>
            <w:tcW w:w="1324" w:type="dxa"/>
            <w:noWrap/>
            <w:hideMark/>
          </w:tcPr>
          <w:p w14:paraId="405C621D"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FF0000"/>
                <w:lang w:eastAsia="en-GB"/>
              </w:rPr>
              <w:t>-5.9%</w:t>
            </w:r>
          </w:p>
        </w:tc>
        <w:tc>
          <w:tcPr>
            <w:tcW w:w="1324" w:type="dxa"/>
            <w:noWrap/>
            <w:hideMark/>
          </w:tcPr>
          <w:p w14:paraId="332CD8D0"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4.4%</w:t>
            </w:r>
          </w:p>
        </w:tc>
      </w:tr>
      <w:tr w:rsidR="00B5666A" w:rsidRPr="00B5666A" w14:paraId="10BA9CB0" w14:textId="77777777" w:rsidTr="00B5666A">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742C8E19" w14:textId="77777777" w:rsidR="00B5666A" w:rsidRPr="00B5666A" w:rsidRDefault="00B5666A" w:rsidP="00B5666A">
            <w:pPr>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Sporting and Recreational Activities</w:t>
            </w:r>
          </w:p>
        </w:tc>
        <w:tc>
          <w:tcPr>
            <w:tcW w:w="1323" w:type="dxa"/>
            <w:noWrap/>
            <w:hideMark/>
          </w:tcPr>
          <w:p w14:paraId="6C543B22"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806</w:t>
            </w:r>
          </w:p>
        </w:tc>
        <w:tc>
          <w:tcPr>
            <w:tcW w:w="1324" w:type="dxa"/>
            <w:noWrap/>
            <w:hideMark/>
          </w:tcPr>
          <w:p w14:paraId="766D7079"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797</w:t>
            </w:r>
          </w:p>
        </w:tc>
        <w:tc>
          <w:tcPr>
            <w:tcW w:w="1324" w:type="dxa"/>
            <w:noWrap/>
            <w:hideMark/>
          </w:tcPr>
          <w:p w14:paraId="5F80CC2A"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FF0000"/>
                <w:lang w:eastAsia="en-GB"/>
              </w:rPr>
              <w:t>-1.1%</w:t>
            </w:r>
          </w:p>
        </w:tc>
        <w:tc>
          <w:tcPr>
            <w:tcW w:w="1324" w:type="dxa"/>
            <w:noWrap/>
            <w:hideMark/>
          </w:tcPr>
          <w:p w14:paraId="6B254AFC"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9.9%</w:t>
            </w:r>
          </w:p>
        </w:tc>
      </w:tr>
      <w:tr w:rsidR="00B5666A" w:rsidRPr="00B5666A" w14:paraId="7576EB1E" w14:textId="77777777" w:rsidTr="00B5666A">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219B838" w14:textId="77777777" w:rsidR="00B5666A" w:rsidRPr="00B5666A" w:rsidRDefault="00B5666A" w:rsidP="00B5666A">
            <w:pPr>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Other</w:t>
            </w:r>
          </w:p>
        </w:tc>
        <w:tc>
          <w:tcPr>
            <w:tcW w:w="1323" w:type="dxa"/>
            <w:noWrap/>
            <w:hideMark/>
          </w:tcPr>
          <w:p w14:paraId="0FBD2399"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206</w:t>
            </w:r>
          </w:p>
        </w:tc>
        <w:tc>
          <w:tcPr>
            <w:tcW w:w="1324" w:type="dxa"/>
            <w:noWrap/>
            <w:hideMark/>
          </w:tcPr>
          <w:p w14:paraId="660B6398"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353</w:t>
            </w:r>
          </w:p>
        </w:tc>
        <w:tc>
          <w:tcPr>
            <w:tcW w:w="1324" w:type="dxa"/>
            <w:noWrap/>
            <w:hideMark/>
          </w:tcPr>
          <w:p w14:paraId="5DF8B534"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71.4%</w:t>
            </w:r>
          </w:p>
        </w:tc>
        <w:tc>
          <w:tcPr>
            <w:tcW w:w="1324" w:type="dxa"/>
            <w:noWrap/>
            <w:hideMark/>
          </w:tcPr>
          <w:p w14:paraId="294C76D1"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7.2%</w:t>
            </w:r>
          </w:p>
        </w:tc>
      </w:tr>
      <w:tr w:rsidR="00B5666A" w:rsidRPr="00B5666A" w14:paraId="04FC64CA" w14:textId="77777777" w:rsidTr="00B5666A">
        <w:trPr>
          <w:trHeight w:val="300"/>
        </w:trPr>
        <w:tc>
          <w:tcPr>
            <w:cnfStyle w:val="001000000000" w:firstRow="0" w:lastRow="0" w:firstColumn="1" w:lastColumn="0" w:oddVBand="0" w:evenVBand="0" w:oddHBand="0" w:evenHBand="0" w:firstRowFirstColumn="0" w:firstRowLastColumn="0" w:lastRowFirstColumn="0" w:lastRowLastColumn="0"/>
            <w:tcW w:w="3539" w:type="dxa"/>
            <w:noWrap/>
            <w:hideMark/>
          </w:tcPr>
          <w:p w14:paraId="6E26CAC4" w14:textId="77777777" w:rsidR="00B5666A" w:rsidRPr="00B5666A" w:rsidRDefault="00B5666A" w:rsidP="00B5666A">
            <w:pPr>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 xml:space="preserve">Total Tourism Jobs </w:t>
            </w:r>
          </w:p>
        </w:tc>
        <w:tc>
          <w:tcPr>
            <w:tcW w:w="1323" w:type="dxa"/>
            <w:noWrap/>
            <w:hideMark/>
          </w:tcPr>
          <w:p w14:paraId="613DBE8E"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4,821</w:t>
            </w:r>
          </w:p>
        </w:tc>
        <w:tc>
          <w:tcPr>
            <w:tcW w:w="1324" w:type="dxa"/>
            <w:noWrap/>
            <w:hideMark/>
          </w:tcPr>
          <w:p w14:paraId="18C44972"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5,364</w:t>
            </w:r>
          </w:p>
        </w:tc>
        <w:tc>
          <w:tcPr>
            <w:tcW w:w="1324" w:type="dxa"/>
            <w:noWrap/>
            <w:hideMark/>
          </w:tcPr>
          <w:p w14:paraId="3D42578E"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11.3%</w:t>
            </w:r>
          </w:p>
        </w:tc>
        <w:tc>
          <w:tcPr>
            <w:tcW w:w="1324" w:type="dxa"/>
            <w:noWrap/>
            <w:hideMark/>
          </w:tcPr>
          <w:p w14:paraId="3525C4D1" w14:textId="77777777" w:rsidR="00B5666A" w:rsidRPr="00B5666A" w:rsidRDefault="00B5666A" w:rsidP="00B5666A">
            <w:pPr>
              <w:jc w:val="cente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s="Times New Roman"/>
                <w:color w:val="000000"/>
                <w:lang w:eastAsia="en-GB"/>
              </w:rPr>
            </w:pPr>
            <w:r w:rsidRPr="00B5666A">
              <w:rPr>
                <w:rFonts w:ascii="Aptos Narrow" w:eastAsia="Times New Roman" w:hAnsi="Aptos Narrow" w:cs="Times New Roman"/>
                <w:color w:val="000000"/>
                <w:lang w:eastAsia="en-GB"/>
              </w:rPr>
              <w:t>7.6%</w:t>
            </w:r>
          </w:p>
        </w:tc>
      </w:tr>
    </w:tbl>
    <w:p w14:paraId="10FDA870" w14:textId="0172F2DE" w:rsidR="00B5666A" w:rsidRDefault="00B5666A" w:rsidP="00B5666A">
      <w:pPr>
        <w:rPr>
          <w:bCs/>
          <w:i/>
          <w:iCs/>
          <w:sz w:val="20"/>
          <w:szCs w:val="20"/>
        </w:rPr>
      </w:pPr>
      <w:r>
        <w:rPr>
          <w:bCs/>
          <w:i/>
          <w:iCs/>
          <w:sz w:val="20"/>
          <w:szCs w:val="20"/>
        </w:rPr>
        <w:t>Table</w:t>
      </w:r>
      <w:r w:rsidR="00536DE2">
        <w:rPr>
          <w:bCs/>
          <w:i/>
          <w:iCs/>
          <w:sz w:val="20"/>
          <w:szCs w:val="20"/>
        </w:rPr>
        <w:t xml:space="preserve"> 7</w:t>
      </w:r>
      <w:r w:rsidRPr="00C9062F">
        <w:rPr>
          <w:bCs/>
          <w:i/>
          <w:iCs/>
          <w:sz w:val="20"/>
          <w:szCs w:val="20"/>
        </w:rPr>
        <w:t>: Number of</w:t>
      </w:r>
      <w:r>
        <w:rPr>
          <w:bCs/>
          <w:i/>
          <w:iCs/>
          <w:sz w:val="20"/>
          <w:szCs w:val="20"/>
        </w:rPr>
        <w:t xml:space="preserve"> employee jobs in</w:t>
      </w:r>
      <w:r w:rsidRPr="00C9062F">
        <w:rPr>
          <w:bCs/>
          <w:i/>
          <w:iCs/>
          <w:sz w:val="20"/>
          <w:szCs w:val="20"/>
        </w:rPr>
        <w:t xml:space="preserve"> tourism </w:t>
      </w:r>
      <w:r>
        <w:rPr>
          <w:bCs/>
          <w:i/>
          <w:iCs/>
          <w:sz w:val="20"/>
          <w:szCs w:val="20"/>
        </w:rPr>
        <w:t xml:space="preserve">related industries in Armagh City, Banbridge and Craigavon Borough &amp; Northern Ireland </w:t>
      </w:r>
      <w:r w:rsidR="00536DE2">
        <w:rPr>
          <w:bCs/>
          <w:i/>
          <w:iCs/>
          <w:sz w:val="20"/>
          <w:szCs w:val="20"/>
        </w:rPr>
        <w:t xml:space="preserve">2021 &amp; </w:t>
      </w:r>
      <w:r>
        <w:rPr>
          <w:bCs/>
          <w:i/>
          <w:iCs/>
          <w:sz w:val="20"/>
          <w:szCs w:val="20"/>
        </w:rPr>
        <w:t>2022</w:t>
      </w:r>
      <w:r w:rsidRPr="00C9062F">
        <w:rPr>
          <w:bCs/>
          <w:i/>
          <w:iCs/>
          <w:sz w:val="20"/>
          <w:szCs w:val="20"/>
        </w:rPr>
        <w:t xml:space="preserve">.  Source: Business Register </w:t>
      </w:r>
      <w:r>
        <w:rPr>
          <w:bCs/>
          <w:i/>
          <w:iCs/>
          <w:sz w:val="20"/>
          <w:szCs w:val="20"/>
        </w:rPr>
        <w:t xml:space="preserve">and Employment Survey </w:t>
      </w:r>
      <w:r w:rsidRPr="00C9062F">
        <w:rPr>
          <w:bCs/>
          <w:i/>
          <w:iCs/>
          <w:sz w:val="20"/>
          <w:szCs w:val="20"/>
        </w:rPr>
        <w:t>(NI Tourism Annual Publication)</w:t>
      </w:r>
    </w:p>
    <w:p w14:paraId="760C1C1F" w14:textId="341509CC" w:rsidR="002F7EF4" w:rsidRDefault="001F5F35" w:rsidP="002F7EF4">
      <w:pPr>
        <w:rPr>
          <w:bCs/>
        </w:rPr>
      </w:pPr>
      <w:r>
        <w:rPr>
          <w:bCs/>
        </w:rPr>
        <w:t xml:space="preserve">With regards the gross weekly median pay for those employed in the tourism industry, data from the annual survey of hours and earnings (ASHE) is available for 2022 and 2023 by work and home </w:t>
      </w:r>
      <w:r w:rsidR="002F7EF4">
        <w:rPr>
          <w:bCs/>
        </w:rPr>
        <w:t>address by LGD</w:t>
      </w:r>
      <w:r w:rsidR="00EB5C04">
        <w:rPr>
          <w:rStyle w:val="FootnoteReference"/>
          <w:bCs/>
        </w:rPr>
        <w:footnoteReference w:id="2"/>
      </w:r>
      <w:r w:rsidR="002F7EF4">
        <w:rPr>
          <w:bCs/>
        </w:rPr>
        <w:t xml:space="preserve">. </w:t>
      </w:r>
      <w:r w:rsidR="00DF2480">
        <w:rPr>
          <w:bCs/>
        </w:rPr>
        <w:t>T</w:t>
      </w:r>
      <w:r w:rsidR="002F7EF4">
        <w:rPr>
          <w:bCs/>
        </w:rPr>
        <w:t xml:space="preserve">hose persons who live in the </w:t>
      </w:r>
      <w:r w:rsidR="00EB5C04">
        <w:rPr>
          <w:bCs/>
        </w:rPr>
        <w:t xml:space="preserve">Armagh City, Banbridge and Craigavon </w:t>
      </w:r>
      <w:r w:rsidR="002F7EF4">
        <w:rPr>
          <w:bCs/>
        </w:rPr>
        <w:t>Borough and work in the tourism industry</w:t>
      </w:r>
      <w:r w:rsidR="00DF2480">
        <w:rPr>
          <w:bCs/>
        </w:rPr>
        <w:t xml:space="preserve"> earned an estimated £384.80 per week in 2023 which was </w:t>
      </w:r>
      <w:r w:rsidR="00EB5C04">
        <w:rPr>
          <w:bCs/>
        </w:rPr>
        <w:t xml:space="preserve">£7.30 less than the gross weekly median pay in 2022 but £61.30 per week more than the Northern Ireland average. Residents in Causeway Coast and Glens working in the tourism industry earned the highest gross weekly median pay at £392.50.  </w:t>
      </w:r>
    </w:p>
    <w:p w14:paraId="017E1BEB" w14:textId="77777777" w:rsidR="00536DE2" w:rsidRDefault="00536DE2" w:rsidP="00536DE2">
      <w:pPr>
        <w:rPr>
          <w:bCs/>
        </w:rPr>
      </w:pPr>
      <w:r>
        <w:rPr>
          <w:bCs/>
        </w:rPr>
        <w:t>In terms of how the pay in the tourism industry compares with all other industries, in 2023, the average gross weekly median pay for All industries by home address was £528.90 compared to £323.50 for those working in the tourism industry.  In the Borough, residents working in the tourism industry earned an estimated £140.90 below the average for all industries (£525.70).</w:t>
      </w:r>
    </w:p>
    <w:p w14:paraId="5CC6688E" w14:textId="77777777" w:rsidR="00536DE2" w:rsidRDefault="00536DE2" w:rsidP="002F7EF4">
      <w:pPr>
        <w:rPr>
          <w:bCs/>
        </w:rPr>
      </w:pPr>
    </w:p>
    <w:p w14:paraId="796A4FCF" w14:textId="690E0432" w:rsidR="002F7EF4" w:rsidRPr="00EB5C04" w:rsidRDefault="00EB5C04" w:rsidP="002F7EF4">
      <w:pPr>
        <w:rPr>
          <w:bCs/>
        </w:rPr>
      </w:pPr>
      <w:r>
        <w:rPr>
          <w:noProof/>
        </w:rPr>
        <w:lastRenderedPageBreak/>
        <w:drawing>
          <wp:inline distT="0" distB="0" distL="0" distR="0" wp14:anchorId="166895C2" wp14:editId="588537AF">
            <wp:extent cx="5731510" cy="3086100"/>
            <wp:effectExtent l="0" t="0" r="2540" b="0"/>
            <wp:docPr id="702297915" name="Chart 1">
              <a:extLst xmlns:a="http://schemas.openxmlformats.org/drawingml/2006/main">
                <a:ext uri="{FF2B5EF4-FFF2-40B4-BE49-F238E27FC236}">
                  <a16:creationId xmlns:a16="http://schemas.microsoft.com/office/drawing/2014/main" id="{5B55587D-F1EF-D564-829D-FC6014DFD6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2F7EF4" w:rsidRPr="002F7EF4">
        <w:rPr>
          <w:bCs/>
          <w:i/>
          <w:iCs/>
          <w:sz w:val="20"/>
          <w:szCs w:val="20"/>
        </w:rPr>
        <w:t xml:space="preserve">Figure </w:t>
      </w:r>
      <w:r w:rsidR="00536DE2">
        <w:rPr>
          <w:bCs/>
          <w:i/>
          <w:iCs/>
          <w:sz w:val="20"/>
          <w:szCs w:val="20"/>
        </w:rPr>
        <w:t>5</w:t>
      </w:r>
      <w:r w:rsidR="002F7EF4" w:rsidRPr="002F7EF4">
        <w:rPr>
          <w:bCs/>
          <w:i/>
          <w:iCs/>
          <w:sz w:val="20"/>
          <w:szCs w:val="20"/>
        </w:rPr>
        <w:t xml:space="preserve">: Gross weekly median </w:t>
      </w:r>
      <w:proofErr w:type="gramStart"/>
      <w:r w:rsidR="002F7EF4" w:rsidRPr="002F7EF4">
        <w:rPr>
          <w:bCs/>
          <w:i/>
          <w:iCs/>
          <w:sz w:val="20"/>
          <w:szCs w:val="20"/>
        </w:rPr>
        <w:t>pay</w:t>
      </w:r>
      <w:proofErr w:type="gramEnd"/>
      <w:r w:rsidR="002F7EF4" w:rsidRPr="002F7EF4">
        <w:rPr>
          <w:bCs/>
          <w:i/>
          <w:iCs/>
          <w:sz w:val="20"/>
          <w:szCs w:val="20"/>
        </w:rPr>
        <w:t xml:space="preserve"> in tourism industry by home address.  Source: Annual survey of hours and earnings</w:t>
      </w:r>
      <w:r w:rsidR="002F7EF4">
        <w:rPr>
          <w:bCs/>
        </w:rPr>
        <w:t xml:space="preserve"> </w:t>
      </w:r>
      <w:r w:rsidR="002F7EF4" w:rsidRPr="00C9062F">
        <w:rPr>
          <w:bCs/>
          <w:i/>
          <w:iCs/>
          <w:sz w:val="20"/>
          <w:szCs w:val="20"/>
        </w:rPr>
        <w:t>(NI Tourism Annual Publication)</w:t>
      </w:r>
    </w:p>
    <w:p w14:paraId="30B547AD" w14:textId="7B7717D2" w:rsidR="00214A72" w:rsidRDefault="00ED3FE5" w:rsidP="00ED3FE5">
      <w:pPr>
        <w:rPr>
          <w:bCs/>
        </w:rPr>
      </w:pPr>
      <w:r>
        <w:rPr>
          <w:bCs/>
        </w:rPr>
        <w:t xml:space="preserve">Gross weekly median </w:t>
      </w:r>
      <w:proofErr w:type="gramStart"/>
      <w:r>
        <w:rPr>
          <w:bCs/>
        </w:rPr>
        <w:t>pay</w:t>
      </w:r>
      <w:proofErr w:type="gramEnd"/>
      <w:r>
        <w:rPr>
          <w:bCs/>
        </w:rPr>
        <w:t xml:space="preserve"> for those employed in the tourism industry is also available by work address and by this measure, persons working in the </w:t>
      </w:r>
      <w:r w:rsidR="002304CB">
        <w:rPr>
          <w:bCs/>
        </w:rPr>
        <w:t xml:space="preserve">tourism sector in </w:t>
      </w:r>
      <w:r>
        <w:rPr>
          <w:bCs/>
        </w:rPr>
        <w:t>Armagh City, Banbridge and Craigavon Borough earn an estimated £420 per week which is almost £100 more than the average for</w:t>
      </w:r>
      <w:r w:rsidR="00214A72">
        <w:rPr>
          <w:bCs/>
        </w:rPr>
        <w:t xml:space="preserve"> those employed in tourism in</w:t>
      </w:r>
      <w:r>
        <w:rPr>
          <w:bCs/>
        </w:rPr>
        <w:t xml:space="preserve"> Northern Ireland</w:t>
      </w:r>
      <w:r w:rsidR="00214A72">
        <w:rPr>
          <w:bCs/>
        </w:rPr>
        <w:t xml:space="preserve"> overall.  The Borough has the highest gross weekly median pay for persons employed in the tourism sector of those LGD’s for which earnings data is available.  </w:t>
      </w:r>
    </w:p>
    <w:p w14:paraId="6D929E8A" w14:textId="555C853B" w:rsidR="00ED3FE5" w:rsidRDefault="002304CB" w:rsidP="002F7EF4">
      <w:pPr>
        <w:rPr>
          <w:bCs/>
        </w:rPr>
      </w:pPr>
      <w:r>
        <w:rPr>
          <w:bCs/>
        </w:rPr>
        <w:t>With regards how working in the tourism industry compared with all other industries</w:t>
      </w:r>
      <w:r w:rsidR="006E125B">
        <w:rPr>
          <w:bCs/>
        </w:rPr>
        <w:t xml:space="preserve"> in the Borough</w:t>
      </w:r>
      <w:r>
        <w:rPr>
          <w:bCs/>
        </w:rPr>
        <w:t>, in 2023, the average gross weekly median pay for All industries by work address was £518.50 compared to £420.00 for those working in the tourism industry which equates to a difference of £98.50.  In Northern Ireland overall, the difference was much greater at £205.40 per week.</w:t>
      </w:r>
      <w:r w:rsidR="006E125B">
        <w:rPr>
          <w:bCs/>
        </w:rPr>
        <w:t xml:space="preserve">  Overall, average earnings of those in the Tourism industry are well below the gross weekly median pay for all other industries.  </w:t>
      </w:r>
    </w:p>
    <w:p w14:paraId="4704FF39" w14:textId="4CF3B4CB" w:rsidR="002F7EF4" w:rsidRDefault="00ED3FE5" w:rsidP="002F7EF4">
      <w:pPr>
        <w:rPr>
          <w:bCs/>
        </w:rPr>
      </w:pPr>
      <w:r>
        <w:rPr>
          <w:noProof/>
        </w:rPr>
        <w:lastRenderedPageBreak/>
        <w:drawing>
          <wp:inline distT="0" distB="0" distL="0" distR="0" wp14:anchorId="5DB83E25" wp14:editId="57FD6ABD">
            <wp:extent cx="5648325" cy="3143250"/>
            <wp:effectExtent l="0" t="0" r="9525" b="0"/>
            <wp:docPr id="1586454600" name="Chart 1">
              <a:extLst xmlns:a="http://schemas.openxmlformats.org/drawingml/2006/main">
                <a:ext uri="{FF2B5EF4-FFF2-40B4-BE49-F238E27FC236}">
                  <a16:creationId xmlns:a16="http://schemas.microsoft.com/office/drawing/2014/main" id="{A5C0D22F-150A-B125-45C5-D6C1991D25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ED3FE5">
        <w:rPr>
          <w:bCs/>
          <w:i/>
          <w:iCs/>
          <w:sz w:val="20"/>
          <w:szCs w:val="20"/>
        </w:rPr>
        <w:t xml:space="preserve"> </w:t>
      </w:r>
      <w:r w:rsidRPr="002F7EF4">
        <w:rPr>
          <w:bCs/>
          <w:i/>
          <w:iCs/>
          <w:sz w:val="20"/>
          <w:szCs w:val="20"/>
        </w:rPr>
        <w:t xml:space="preserve">Figure </w:t>
      </w:r>
      <w:r w:rsidR="00536DE2">
        <w:rPr>
          <w:bCs/>
          <w:i/>
          <w:iCs/>
          <w:sz w:val="20"/>
          <w:szCs w:val="20"/>
        </w:rPr>
        <w:t>6</w:t>
      </w:r>
      <w:r w:rsidRPr="002F7EF4">
        <w:rPr>
          <w:bCs/>
          <w:i/>
          <w:iCs/>
          <w:sz w:val="20"/>
          <w:szCs w:val="20"/>
        </w:rPr>
        <w:t xml:space="preserve">: Gross weekly median </w:t>
      </w:r>
      <w:proofErr w:type="gramStart"/>
      <w:r w:rsidRPr="002F7EF4">
        <w:rPr>
          <w:bCs/>
          <w:i/>
          <w:iCs/>
          <w:sz w:val="20"/>
          <w:szCs w:val="20"/>
        </w:rPr>
        <w:t>pay</w:t>
      </w:r>
      <w:proofErr w:type="gramEnd"/>
      <w:r w:rsidRPr="002F7EF4">
        <w:rPr>
          <w:bCs/>
          <w:i/>
          <w:iCs/>
          <w:sz w:val="20"/>
          <w:szCs w:val="20"/>
        </w:rPr>
        <w:t xml:space="preserve"> in tourism industry by </w:t>
      </w:r>
      <w:r>
        <w:rPr>
          <w:bCs/>
          <w:i/>
          <w:iCs/>
          <w:sz w:val="20"/>
          <w:szCs w:val="20"/>
        </w:rPr>
        <w:t>work</w:t>
      </w:r>
      <w:r w:rsidRPr="002F7EF4">
        <w:rPr>
          <w:bCs/>
          <w:i/>
          <w:iCs/>
          <w:sz w:val="20"/>
          <w:szCs w:val="20"/>
        </w:rPr>
        <w:t xml:space="preserve"> address.  Source: Annual survey of hours and earnings</w:t>
      </w:r>
      <w:r>
        <w:rPr>
          <w:bCs/>
        </w:rPr>
        <w:t xml:space="preserve"> </w:t>
      </w:r>
      <w:r w:rsidRPr="00C9062F">
        <w:rPr>
          <w:bCs/>
          <w:i/>
          <w:iCs/>
          <w:sz w:val="20"/>
          <w:szCs w:val="20"/>
        </w:rPr>
        <w:t>(NI Tourism Annual Publication)</w:t>
      </w:r>
    </w:p>
    <w:p w14:paraId="526A1D7B" w14:textId="77777777" w:rsidR="002F7EF4" w:rsidRDefault="002F7EF4" w:rsidP="002F7EF4">
      <w:pPr>
        <w:rPr>
          <w:i/>
          <w:color w:val="FF0000"/>
          <w:sz w:val="20"/>
          <w:szCs w:val="20"/>
        </w:rPr>
      </w:pPr>
    </w:p>
    <w:p w14:paraId="542FDE9C" w14:textId="77777777" w:rsidR="001464FA" w:rsidRDefault="00BC5454" w:rsidP="0079173A">
      <w:r w:rsidRPr="00205E70">
        <w:t>Further information on tourism</w:t>
      </w:r>
      <w:r w:rsidR="0028067A" w:rsidRPr="00205E70">
        <w:t xml:space="preserve"> statistics</w:t>
      </w:r>
      <w:r w:rsidRPr="00205E70">
        <w:t xml:space="preserve"> can be found via the following link:</w:t>
      </w:r>
    </w:p>
    <w:p w14:paraId="695CB841" w14:textId="6688F8F5" w:rsidR="00056D60" w:rsidRPr="00056D60" w:rsidRDefault="00056D60" w:rsidP="0079173A">
      <w:pPr>
        <w:rPr>
          <w:iCs/>
        </w:rPr>
      </w:pPr>
      <w:hyperlink r:id="rId13" w:history="1">
        <w:r w:rsidRPr="00056D60">
          <w:rPr>
            <w:rStyle w:val="Hyperlink"/>
            <w:iCs/>
            <w:color w:val="auto"/>
          </w:rPr>
          <w:t>NI Annual Tourism Statistics 2023 | Northern Ireland Statistics and Research Agency (nisra.gov.uk)</w:t>
        </w:r>
      </w:hyperlink>
    </w:p>
    <w:p w14:paraId="4B7BE348" w14:textId="3892E6F8" w:rsidR="001464FA" w:rsidRPr="00205E70" w:rsidRDefault="00BC5454" w:rsidP="0079173A">
      <w:pPr>
        <w:rPr>
          <w:i/>
          <w:sz w:val="20"/>
          <w:szCs w:val="20"/>
        </w:rPr>
      </w:pPr>
      <w:hyperlink r:id="rId14" w:history="1">
        <w:r w:rsidRPr="00205E70">
          <w:rPr>
            <w:rStyle w:val="Hyperlink"/>
            <w:color w:val="auto"/>
          </w:rPr>
          <w:t>https://www.nisra.gov.uk/statistics/tourism/local-government-district-tourism-statistics</w:t>
        </w:r>
      </w:hyperlink>
    </w:p>
    <w:sectPr w:rsidR="001464FA" w:rsidRPr="00205E70">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D3069" w14:textId="77777777" w:rsidR="00820F29" w:rsidRDefault="00820F29" w:rsidP="009470B4">
      <w:pPr>
        <w:spacing w:after="0" w:line="240" w:lineRule="auto"/>
      </w:pPr>
      <w:r>
        <w:separator/>
      </w:r>
    </w:p>
  </w:endnote>
  <w:endnote w:type="continuationSeparator" w:id="0">
    <w:p w14:paraId="345F8965" w14:textId="77777777" w:rsidR="00820F29" w:rsidRDefault="00820F29" w:rsidP="0094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684376"/>
      <w:docPartObj>
        <w:docPartGallery w:val="Page Numbers (Bottom of Page)"/>
        <w:docPartUnique/>
      </w:docPartObj>
    </w:sdtPr>
    <w:sdtEndPr>
      <w:rPr>
        <w:noProof/>
      </w:rPr>
    </w:sdtEndPr>
    <w:sdtContent>
      <w:p w14:paraId="7B11C21C" w14:textId="77777777" w:rsidR="009470B4" w:rsidRDefault="009470B4">
        <w:pPr>
          <w:pStyle w:val="Footer"/>
          <w:jc w:val="right"/>
        </w:pPr>
        <w:r>
          <w:fldChar w:fldCharType="begin"/>
        </w:r>
        <w:r>
          <w:instrText xml:space="preserve"> PAGE   \* MERGEFORMAT </w:instrText>
        </w:r>
        <w:r>
          <w:fldChar w:fldCharType="separate"/>
        </w:r>
        <w:r w:rsidR="00FE3693">
          <w:rPr>
            <w:noProof/>
          </w:rPr>
          <w:t>2</w:t>
        </w:r>
        <w:r>
          <w:rPr>
            <w:noProof/>
          </w:rPr>
          <w:fldChar w:fldCharType="end"/>
        </w:r>
      </w:p>
    </w:sdtContent>
  </w:sdt>
  <w:p w14:paraId="735094D8" w14:textId="77777777" w:rsidR="009470B4" w:rsidRDefault="00947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263B24" w14:textId="77777777" w:rsidR="00820F29" w:rsidRDefault="00820F29" w:rsidP="009470B4">
      <w:pPr>
        <w:spacing w:after="0" w:line="240" w:lineRule="auto"/>
      </w:pPr>
      <w:r>
        <w:separator/>
      </w:r>
    </w:p>
  </w:footnote>
  <w:footnote w:type="continuationSeparator" w:id="0">
    <w:p w14:paraId="1BE1F0B8" w14:textId="77777777" w:rsidR="00820F29" w:rsidRDefault="00820F29" w:rsidP="009470B4">
      <w:pPr>
        <w:spacing w:after="0" w:line="240" w:lineRule="auto"/>
      </w:pPr>
      <w:r>
        <w:continuationSeparator/>
      </w:r>
    </w:p>
  </w:footnote>
  <w:footnote w:id="1">
    <w:p w14:paraId="73DD2195" w14:textId="75BB0C32" w:rsidR="00D24720" w:rsidRDefault="00D24720">
      <w:pPr>
        <w:pStyle w:val="FootnoteText"/>
      </w:pPr>
      <w:r>
        <w:rPr>
          <w:rStyle w:val="FootnoteReference"/>
        </w:rPr>
        <w:footnoteRef/>
      </w:r>
      <w:r>
        <w:t xml:space="preserve"> </w:t>
      </w:r>
      <w:r w:rsidRPr="00D24720">
        <w:rPr>
          <w:rFonts w:eastAsia="Times New Roman" w:cstheme="minorHAnsi"/>
          <w:color w:val="000000"/>
          <w:lang w:eastAsia="en-GB"/>
        </w:rPr>
        <w:t>Due to changes in methodology, users should err caution in comparing 2023 data to previous years.</w:t>
      </w:r>
    </w:p>
  </w:footnote>
  <w:footnote w:id="2">
    <w:p w14:paraId="5846177A" w14:textId="5570C1FD" w:rsidR="00EB5C04" w:rsidRDefault="00EB5C04">
      <w:pPr>
        <w:pStyle w:val="FootnoteText"/>
      </w:pPr>
      <w:r>
        <w:rPr>
          <w:rStyle w:val="FootnoteReference"/>
        </w:rPr>
        <w:footnoteRef/>
      </w:r>
      <w:r>
        <w:t xml:space="preserve"> For many LGD’s, sample size was too small for a reliable </w:t>
      </w:r>
      <w:proofErr w:type="gramStart"/>
      <w:r>
        <w:t>estimate</w:t>
      </w:r>
      <w:proofErr w:type="gramEnd"/>
      <w:r>
        <w:t xml:space="preserve"> so data is only presented for those LGDs with data available.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87"/>
    <w:rsid w:val="00015C89"/>
    <w:rsid w:val="000220CE"/>
    <w:rsid w:val="00035F65"/>
    <w:rsid w:val="00056D60"/>
    <w:rsid w:val="000C3CE0"/>
    <w:rsid w:val="000C7CE8"/>
    <w:rsid w:val="000E40BC"/>
    <w:rsid w:val="001464FA"/>
    <w:rsid w:val="00154E71"/>
    <w:rsid w:val="00163359"/>
    <w:rsid w:val="001F5F35"/>
    <w:rsid w:val="00201EBB"/>
    <w:rsid w:val="00205E70"/>
    <w:rsid w:val="00214A72"/>
    <w:rsid w:val="0022340B"/>
    <w:rsid w:val="002304CB"/>
    <w:rsid w:val="00262DBF"/>
    <w:rsid w:val="00265E55"/>
    <w:rsid w:val="0028067A"/>
    <w:rsid w:val="002B13D9"/>
    <w:rsid w:val="002E05CA"/>
    <w:rsid w:val="002F3A8A"/>
    <w:rsid w:val="002F7EF4"/>
    <w:rsid w:val="00335F6B"/>
    <w:rsid w:val="003768C9"/>
    <w:rsid w:val="00381E1E"/>
    <w:rsid w:val="003A151D"/>
    <w:rsid w:val="003A64E8"/>
    <w:rsid w:val="00443336"/>
    <w:rsid w:val="00470647"/>
    <w:rsid w:val="00494448"/>
    <w:rsid w:val="004B5004"/>
    <w:rsid w:val="004B5682"/>
    <w:rsid w:val="004D6A65"/>
    <w:rsid w:val="00507257"/>
    <w:rsid w:val="00536DE2"/>
    <w:rsid w:val="00543353"/>
    <w:rsid w:val="0054346E"/>
    <w:rsid w:val="00543809"/>
    <w:rsid w:val="00546B94"/>
    <w:rsid w:val="005B4DAB"/>
    <w:rsid w:val="005C4D70"/>
    <w:rsid w:val="005C6515"/>
    <w:rsid w:val="005F169E"/>
    <w:rsid w:val="006E125B"/>
    <w:rsid w:val="006E4145"/>
    <w:rsid w:val="007814F5"/>
    <w:rsid w:val="0079173A"/>
    <w:rsid w:val="007C7AFB"/>
    <w:rsid w:val="007E045D"/>
    <w:rsid w:val="00806264"/>
    <w:rsid w:val="00820F29"/>
    <w:rsid w:val="00836E9E"/>
    <w:rsid w:val="0084512A"/>
    <w:rsid w:val="00870F89"/>
    <w:rsid w:val="008B4E2D"/>
    <w:rsid w:val="008C1EDC"/>
    <w:rsid w:val="008C3787"/>
    <w:rsid w:val="0093320A"/>
    <w:rsid w:val="009470B4"/>
    <w:rsid w:val="00A0792D"/>
    <w:rsid w:val="00A20DDD"/>
    <w:rsid w:val="00A33DDD"/>
    <w:rsid w:val="00A40757"/>
    <w:rsid w:val="00A64F03"/>
    <w:rsid w:val="00A70F15"/>
    <w:rsid w:val="00A76810"/>
    <w:rsid w:val="00A8124F"/>
    <w:rsid w:val="00B5666A"/>
    <w:rsid w:val="00B56A3C"/>
    <w:rsid w:val="00B61954"/>
    <w:rsid w:val="00B776B0"/>
    <w:rsid w:val="00BB3DD5"/>
    <w:rsid w:val="00BC5454"/>
    <w:rsid w:val="00C16CDC"/>
    <w:rsid w:val="00C17259"/>
    <w:rsid w:val="00C263F5"/>
    <w:rsid w:val="00C9062F"/>
    <w:rsid w:val="00CA73A0"/>
    <w:rsid w:val="00CE1086"/>
    <w:rsid w:val="00D14FF4"/>
    <w:rsid w:val="00D24720"/>
    <w:rsid w:val="00D7456E"/>
    <w:rsid w:val="00D757C6"/>
    <w:rsid w:val="00D82855"/>
    <w:rsid w:val="00DC0E4D"/>
    <w:rsid w:val="00DF2480"/>
    <w:rsid w:val="00E00CE7"/>
    <w:rsid w:val="00E41CE3"/>
    <w:rsid w:val="00E81E87"/>
    <w:rsid w:val="00E963A1"/>
    <w:rsid w:val="00EB1F67"/>
    <w:rsid w:val="00EB5C04"/>
    <w:rsid w:val="00EC6E5E"/>
    <w:rsid w:val="00ED102E"/>
    <w:rsid w:val="00ED3FE5"/>
    <w:rsid w:val="00F008E3"/>
    <w:rsid w:val="00F14B8F"/>
    <w:rsid w:val="00F14E36"/>
    <w:rsid w:val="00F4720D"/>
    <w:rsid w:val="00F62980"/>
    <w:rsid w:val="00FA2D61"/>
    <w:rsid w:val="00FA69EF"/>
    <w:rsid w:val="00FB21B6"/>
    <w:rsid w:val="00FC12E1"/>
    <w:rsid w:val="00FC7244"/>
    <w:rsid w:val="00FE02BE"/>
    <w:rsid w:val="00FE3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0044"/>
  <w15:chartTrackingRefBased/>
  <w15:docId w15:val="{C11A593D-929D-46F6-A671-5201660B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0B4"/>
  </w:style>
  <w:style w:type="paragraph" w:styleId="Footer">
    <w:name w:val="footer"/>
    <w:basedOn w:val="Normal"/>
    <w:link w:val="FooterChar"/>
    <w:uiPriority w:val="99"/>
    <w:unhideWhenUsed/>
    <w:rsid w:val="00947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0B4"/>
  </w:style>
  <w:style w:type="character" w:styleId="Hyperlink">
    <w:name w:val="Hyperlink"/>
    <w:basedOn w:val="DefaultParagraphFont"/>
    <w:uiPriority w:val="99"/>
    <w:unhideWhenUsed/>
    <w:rsid w:val="00BC5454"/>
    <w:rPr>
      <w:color w:val="0000FF"/>
      <w:u w:val="single"/>
    </w:rPr>
  </w:style>
  <w:style w:type="table" w:styleId="GridTable1Light">
    <w:name w:val="Grid Table 1 Light"/>
    <w:basedOn w:val="TableNormal"/>
    <w:uiPriority w:val="46"/>
    <w:rsid w:val="00E81E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D247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720"/>
    <w:rPr>
      <w:sz w:val="20"/>
      <w:szCs w:val="20"/>
    </w:rPr>
  </w:style>
  <w:style w:type="character" w:styleId="FootnoteReference">
    <w:name w:val="footnote reference"/>
    <w:basedOn w:val="DefaultParagraphFont"/>
    <w:uiPriority w:val="99"/>
    <w:semiHidden/>
    <w:unhideWhenUsed/>
    <w:rsid w:val="00D24720"/>
    <w:rPr>
      <w:vertAlign w:val="superscript"/>
    </w:rPr>
  </w:style>
  <w:style w:type="character" w:styleId="UnresolvedMention">
    <w:name w:val="Unresolved Mention"/>
    <w:basedOn w:val="DefaultParagraphFont"/>
    <w:uiPriority w:val="99"/>
    <w:semiHidden/>
    <w:unhideWhenUsed/>
    <w:rsid w:val="00056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870090">
      <w:bodyDiv w:val="1"/>
      <w:marLeft w:val="0"/>
      <w:marRight w:val="0"/>
      <w:marTop w:val="0"/>
      <w:marBottom w:val="0"/>
      <w:divBdr>
        <w:top w:val="none" w:sz="0" w:space="0" w:color="auto"/>
        <w:left w:val="none" w:sz="0" w:space="0" w:color="auto"/>
        <w:bottom w:val="none" w:sz="0" w:space="0" w:color="auto"/>
        <w:right w:val="none" w:sz="0" w:space="0" w:color="auto"/>
      </w:divBdr>
    </w:div>
    <w:div w:id="386608344">
      <w:bodyDiv w:val="1"/>
      <w:marLeft w:val="0"/>
      <w:marRight w:val="0"/>
      <w:marTop w:val="0"/>
      <w:marBottom w:val="0"/>
      <w:divBdr>
        <w:top w:val="none" w:sz="0" w:space="0" w:color="auto"/>
        <w:left w:val="none" w:sz="0" w:space="0" w:color="auto"/>
        <w:bottom w:val="none" w:sz="0" w:space="0" w:color="auto"/>
        <w:right w:val="none" w:sz="0" w:space="0" w:color="auto"/>
      </w:divBdr>
    </w:div>
    <w:div w:id="433091943">
      <w:bodyDiv w:val="1"/>
      <w:marLeft w:val="0"/>
      <w:marRight w:val="0"/>
      <w:marTop w:val="0"/>
      <w:marBottom w:val="0"/>
      <w:divBdr>
        <w:top w:val="none" w:sz="0" w:space="0" w:color="auto"/>
        <w:left w:val="none" w:sz="0" w:space="0" w:color="auto"/>
        <w:bottom w:val="none" w:sz="0" w:space="0" w:color="auto"/>
        <w:right w:val="none" w:sz="0" w:space="0" w:color="auto"/>
      </w:divBdr>
    </w:div>
    <w:div w:id="515926461">
      <w:bodyDiv w:val="1"/>
      <w:marLeft w:val="0"/>
      <w:marRight w:val="0"/>
      <w:marTop w:val="0"/>
      <w:marBottom w:val="0"/>
      <w:divBdr>
        <w:top w:val="none" w:sz="0" w:space="0" w:color="auto"/>
        <w:left w:val="none" w:sz="0" w:space="0" w:color="auto"/>
        <w:bottom w:val="none" w:sz="0" w:space="0" w:color="auto"/>
        <w:right w:val="none" w:sz="0" w:space="0" w:color="auto"/>
      </w:divBdr>
    </w:div>
    <w:div w:id="636762633">
      <w:bodyDiv w:val="1"/>
      <w:marLeft w:val="0"/>
      <w:marRight w:val="0"/>
      <w:marTop w:val="0"/>
      <w:marBottom w:val="0"/>
      <w:divBdr>
        <w:top w:val="none" w:sz="0" w:space="0" w:color="auto"/>
        <w:left w:val="none" w:sz="0" w:space="0" w:color="auto"/>
        <w:bottom w:val="none" w:sz="0" w:space="0" w:color="auto"/>
        <w:right w:val="none" w:sz="0" w:space="0" w:color="auto"/>
      </w:divBdr>
    </w:div>
    <w:div w:id="641616845">
      <w:bodyDiv w:val="1"/>
      <w:marLeft w:val="0"/>
      <w:marRight w:val="0"/>
      <w:marTop w:val="0"/>
      <w:marBottom w:val="0"/>
      <w:divBdr>
        <w:top w:val="none" w:sz="0" w:space="0" w:color="auto"/>
        <w:left w:val="none" w:sz="0" w:space="0" w:color="auto"/>
        <w:bottom w:val="none" w:sz="0" w:space="0" w:color="auto"/>
        <w:right w:val="none" w:sz="0" w:space="0" w:color="auto"/>
      </w:divBdr>
    </w:div>
    <w:div w:id="659576107">
      <w:bodyDiv w:val="1"/>
      <w:marLeft w:val="0"/>
      <w:marRight w:val="0"/>
      <w:marTop w:val="0"/>
      <w:marBottom w:val="0"/>
      <w:divBdr>
        <w:top w:val="none" w:sz="0" w:space="0" w:color="auto"/>
        <w:left w:val="none" w:sz="0" w:space="0" w:color="auto"/>
        <w:bottom w:val="none" w:sz="0" w:space="0" w:color="auto"/>
        <w:right w:val="none" w:sz="0" w:space="0" w:color="auto"/>
      </w:divBdr>
    </w:div>
    <w:div w:id="734425964">
      <w:bodyDiv w:val="1"/>
      <w:marLeft w:val="0"/>
      <w:marRight w:val="0"/>
      <w:marTop w:val="0"/>
      <w:marBottom w:val="0"/>
      <w:divBdr>
        <w:top w:val="none" w:sz="0" w:space="0" w:color="auto"/>
        <w:left w:val="none" w:sz="0" w:space="0" w:color="auto"/>
        <w:bottom w:val="none" w:sz="0" w:space="0" w:color="auto"/>
        <w:right w:val="none" w:sz="0" w:space="0" w:color="auto"/>
      </w:divBdr>
    </w:div>
    <w:div w:id="911889005">
      <w:bodyDiv w:val="1"/>
      <w:marLeft w:val="0"/>
      <w:marRight w:val="0"/>
      <w:marTop w:val="0"/>
      <w:marBottom w:val="0"/>
      <w:divBdr>
        <w:top w:val="none" w:sz="0" w:space="0" w:color="auto"/>
        <w:left w:val="none" w:sz="0" w:space="0" w:color="auto"/>
        <w:bottom w:val="none" w:sz="0" w:space="0" w:color="auto"/>
        <w:right w:val="none" w:sz="0" w:space="0" w:color="auto"/>
      </w:divBdr>
    </w:div>
    <w:div w:id="1038776920">
      <w:bodyDiv w:val="1"/>
      <w:marLeft w:val="0"/>
      <w:marRight w:val="0"/>
      <w:marTop w:val="0"/>
      <w:marBottom w:val="0"/>
      <w:divBdr>
        <w:top w:val="none" w:sz="0" w:space="0" w:color="auto"/>
        <w:left w:val="none" w:sz="0" w:space="0" w:color="auto"/>
        <w:bottom w:val="none" w:sz="0" w:space="0" w:color="auto"/>
        <w:right w:val="none" w:sz="0" w:space="0" w:color="auto"/>
      </w:divBdr>
    </w:div>
    <w:div w:id="1050492509">
      <w:bodyDiv w:val="1"/>
      <w:marLeft w:val="0"/>
      <w:marRight w:val="0"/>
      <w:marTop w:val="0"/>
      <w:marBottom w:val="0"/>
      <w:divBdr>
        <w:top w:val="none" w:sz="0" w:space="0" w:color="auto"/>
        <w:left w:val="none" w:sz="0" w:space="0" w:color="auto"/>
        <w:bottom w:val="none" w:sz="0" w:space="0" w:color="auto"/>
        <w:right w:val="none" w:sz="0" w:space="0" w:color="auto"/>
      </w:divBdr>
    </w:div>
    <w:div w:id="1094781862">
      <w:bodyDiv w:val="1"/>
      <w:marLeft w:val="0"/>
      <w:marRight w:val="0"/>
      <w:marTop w:val="0"/>
      <w:marBottom w:val="0"/>
      <w:divBdr>
        <w:top w:val="none" w:sz="0" w:space="0" w:color="auto"/>
        <w:left w:val="none" w:sz="0" w:space="0" w:color="auto"/>
        <w:bottom w:val="none" w:sz="0" w:space="0" w:color="auto"/>
        <w:right w:val="none" w:sz="0" w:space="0" w:color="auto"/>
      </w:divBdr>
    </w:div>
    <w:div w:id="1173103530">
      <w:bodyDiv w:val="1"/>
      <w:marLeft w:val="0"/>
      <w:marRight w:val="0"/>
      <w:marTop w:val="0"/>
      <w:marBottom w:val="0"/>
      <w:divBdr>
        <w:top w:val="none" w:sz="0" w:space="0" w:color="auto"/>
        <w:left w:val="none" w:sz="0" w:space="0" w:color="auto"/>
        <w:bottom w:val="none" w:sz="0" w:space="0" w:color="auto"/>
        <w:right w:val="none" w:sz="0" w:space="0" w:color="auto"/>
      </w:divBdr>
    </w:div>
    <w:div w:id="1248926588">
      <w:bodyDiv w:val="1"/>
      <w:marLeft w:val="0"/>
      <w:marRight w:val="0"/>
      <w:marTop w:val="0"/>
      <w:marBottom w:val="0"/>
      <w:divBdr>
        <w:top w:val="none" w:sz="0" w:space="0" w:color="auto"/>
        <w:left w:val="none" w:sz="0" w:space="0" w:color="auto"/>
        <w:bottom w:val="none" w:sz="0" w:space="0" w:color="auto"/>
        <w:right w:val="none" w:sz="0" w:space="0" w:color="auto"/>
      </w:divBdr>
    </w:div>
    <w:div w:id="1264457571">
      <w:bodyDiv w:val="1"/>
      <w:marLeft w:val="0"/>
      <w:marRight w:val="0"/>
      <w:marTop w:val="0"/>
      <w:marBottom w:val="0"/>
      <w:divBdr>
        <w:top w:val="none" w:sz="0" w:space="0" w:color="auto"/>
        <w:left w:val="none" w:sz="0" w:space="0" w:color="auto"/>
        <w:bottom w:val="none" w:sz="0" w:space="0" w:color="auto"/>
        <w:right w:val="none" w:sz="0" w:space="0" w:color="auto"/>
      </w:divBdr>
    </w:div>
    <w:div w:id="1268536710">
      <w:bodyDiv w:val="1"/>
      <w:marLeft w:val="0"/>
      <w:marRight w:val="0"/>
      <w:marTop w:val="0"/>
      <w:marBottom w:val="0"/>
      <w:divBdr>
        <w:top w:val="none" w:sz="0" w:space="0" w:color="auto"/>
        <w:left w:val="none" w:sz="0" w:space="0" w:color="auto"/>
        <w:bottom w:val="none" w:sz="0" w:space="0" w:color="auto"/>
        <w:right w:val="none" w:sz="0" w:space="0" w:color="auto"/>
      </w:divBdr>
    </w:div>
    <w:div w:id="1354839397">
      <w:bodyDiv w:val="1"/>
      <w:marLeft w:val="0"/>
      <w:marRight w:val="0"/>
      <w:marTop w:val="0"/>
      <w:marBottom w:val="0"/>
      <w:divBdr>
        <w:top w:val="none" w:sz="0" w:space="0" w:color="auto"/>
        <w:left w:val="none" w:sz="0" w:space="0" w:color="auto"/>
        <w:bottom w:val="none" w:sz="0" w:space="0" w:color="auto"/>
        <w:right w:val="none" w:sz="0" w:space="0" w:color="auto"/>
      </w:divBdr>
    </w:div>
    <w:div w:id="1367024371">
      <w:bodyDiv w:val="1"/>
      <w:marLeft w:val="0"/>
      <w:marRight w:val="0"/>
      <w:marTop w:val="0"/>
      <w:marBottom w:val="0"/>
      <w:divBdr>
        <w:top w:val="none" w:sz="0" w:space="0" w:color="auto"/>
        <w:left w:val="none" w:sz="0" w:space="0" w:color="auto"/>
        <w:bottom w:val="none" w:sz="0" w:space="0" w:color="auto"/>
        <w:right w:val="none" w:sz="0" w:space="0" w:color="auto"/>
      </w:divBdr>
    </w:div>
    <w:div w:id="1456171171">
      <w:bodyDiv w:val="1"/>
      <w:marLeft w:val="0"/>
      <w:marRight w:val="0"/>
      <w:marTop w:val="0"/>
      <w:marBottom w:val="0"/>
      <w:divBdr>
        <w:top w:val="none" w:sz="0" w:space="0" w:color="auto"/>
        <w:left w:val="none" w:sz="0" w:space="0" w:color="auto"/>
        <w:bottom w:val="none" w:sz="0" w:space="0" w:color="auto"/>
        <w:right w:val="none" w:sz="0" w:space="0" w:color="auto"/>
      </w:divBdr>
    </w:div>
    <w:div w:id="1544904420">
      <w:bodyDiv w:val="1"/>
      <w:marLeft w:val="0"/>
      <w:marRight w:val="0"/>
      <w:marTop w:val="0"/>
      <w:marBottom w:val="0"/>
      <w:divBdr>
        <w:top w:val="none" w:sz="0" w:space="0" w:color="auto"/>
        <w:left w:val="none" w:sz="0" w:space="0" w:color="auto"/>
        <w:bottom w:val="none" w:sz="0" w:space="0" w:color="auto"/>
        <w:right w:val="none" w:sz="0" w:space="0" w:color="auto"/>
      </w:divBdr>
    </w:div>
    <w:div w:id="1714428166">
      <w:bodyDiv w:val="1"/>
      <w:marLeft w:val="0"/>
      <w:marRight w:val="0"/>
      <w:marTop w:val="0"/>
      <w:marBottom w:val="0"/>
      <w:divBdr>
        <w:top w:val="none" w:sz="0" w:space="0" w:color="auto"/>
        <w:left w:val="none" w:sz="0" w:space="0" w:color="auto"/>
        <w:bottom w:val="none" w:sz="0" w:space="0" w:color="auto"/>
        <w:right w:val="none" w:sz="0" w:space="0" w:color="auto"/>
      </w:divBdr>
    </w:div>
    <w:div w:id="1732387119">
      <w:bodyDiv w:val="1"/>
      <w:marLeft w:val="0"/>
      <w:marRight w:val="0"/>
      <w:marTop w:val="0"/>
      <w:marBottom w:val="0"/>
      <w:divBdr>
        <w:top w:val="none" w:sz="0" w:space="0" w:color="auto"/>
        <w:left w:val="none" w:sz="0" w:space="0" w:color="auto"/>
        <w:bottom w:val="none" w:sz="0" w:space="0" w:color="auto"/>
        <w:right w:val="none" w:sz="0" w:space="0" w:color="auto"/>
      </w:divBdr>
    </w:div>
    <w:div w:id="1755740372">
      <w:bodyDiv w:val="1"/>
      <w:marLeft w:val="0"/>
      <w:marRight w:val="0"/>
      <w:marTop w:val="0"/>
      <w:marBottom w:val="0"/>
      <w:divBdr>
        <w:top w:val="none" w:sz="0" w:space="0" w:color="auto"/>
        <w:left w:val="none" w:sz="0" w:space="0" w:color="auto"/>
        <w:bottom w:val="none" w:sz="0" w:space="0" w:color="auto"/>
        <w:right w:val="none" w:sz="0" w:space="0" w:color="auto"/>
      </w:divBdr>
    </w:div>
    <w:div w:id="1787235229">
      <w:bodyDiv w:val="1"/>
      <w:marLeft w:val="0"/>
      <w:marRight w:val="0"/>
      <w:marTop w:val="0"/>
      <w:marBottom w:val="0"/>
      <w:divBdr>
        <w:top w:val="none" w:sz="0" w:space="0" w:color="auto"/>
        <w:left w:val="none" w:sz="0" w:space="0" w:color="auto"/>
        <w:bottom w:val="none" w:sz="0" w:space="0" w:color="auto"/>
        <w:right w:val="none" w:sz="0" w:space="0" w:color="auto"/>
      </w:divBdr>
    </w:div>
    <w:div w:id="1811943562">
      <w:bodyDiv w:val="1"/>
      <w:marLeft w:val="0"/>
      <w:marRight w:val="0"/>
      <w:marTop w:val="0"/>
      <w:marBottom w:val="0"/>
      <w:divBdr>
        <w:top w:val="none" w:sz="0" w:space="0" w:color="auto"/>
        <w:left w:val="none" w:sz="0" w:space="0" w:color="auto"/>
        <w:bottom w:val="none" w:sz="0" w:space="0" w:color="auto"/>
        <w:right w:val="none" w:sz="0" w:space="0" w:color="auto"/>
      </w:divBdr>
    </w:div>
    <w:div w:id="1903590260">
      <w:bodyDiv w:val="1"/>
      <w:marLeft w:val="0"/>
      <w:marRight w:val="0"/>
      <w:marTop w:val="0"/>
      <w:marBottom w:val="0"/>
      <w:divBdr>
        <w:top w:val="none" w:sz="0" w:space="0" w:color="auto"/>
        <w:left w:val="none" w:sz="0" w:space="0" w:color="auto"/>
        <w:bottom w:val="none" w:sz="0" w:space="0" w:color="auto"/>
        <w:right w:val="none" w:sz="0" w:space="0" w:color="auto"/>
      </w:divBdr>
    </w:div>
    <w:div w:id="200547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www.nisra.gov.uk/publications/ni-annual-tourism-statistics-2023"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www.nisra.gov.uk/statistics/tourism/local-government-district-tourism-statistic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Tourism%20and%20Culture\2022%20Updates\Tourism%20Stat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Tourism%20and%20Culture\2022%20Updates\Tourism%20Sta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Tourism%20and%20Culture\2022%20Updates\Tourism%20Sta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Tourism%20and%20Culture\2022%20Updates\Tourism%20Sta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Tourism%20and%20Culture\2022%20Updates\Tourism%20Sta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Tourism%20and%20Culture\2022%20Updates\Tourism%20Stat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99384799122331"/>
          <c:y val="3.9268178327563505E-2"/>
          <c:w val="0.6790634504020332"/>
          <c:h val="0.79654305107842727"/>
        </c:manualLayout>
      </c:layout>
      <c:barChart>
        <c:barDir val="col"/>
        <c:grouping val="clustered"/>
        <c:varyColors val="0"/>
        <c:ser>
          <c:idx val="0"/>
          <c:order val="0"/>
          <c:tx>
            <c:strRef>
              <c:f>'REvisions 2023'!$B$66</c:f>
              <c:strCache>
                <c:ptCount val="1"/>
                <c:pt idx="0">
                  <c:v>Overnight Trips</c:v>
                </c:pt>
              </c:strCache>
            </c:strRef>
          </c:tx>
          <c:spPr>
            <a:solidFill>
              <a:schemeClr val="accent1"/>
            </a:solidFill>
            <a:ln>
              <a:noFill/>
            </a:ln>
            <a:effectLst/>
          </c:spPr>
          <c:invertIfNegative val="0"/>
          <c:cat>
            <c:numRef>
              <c:f>'REvisions 2023'!$A$67:$A$74</c:f>
              <c:numCache>
                <c:formatCode>General</c:formatCode>
                <c:ptCount val="8"/>
                <c:pt idx="0">
                  <c:v>2013</c:v>
                </c:pt>
                <c:pt idx="1">
                  <c:v>2014</c:v>
                </c:pt>
                <c:pt idx="2">
                  <c:v>2015</c:v>
                </c:pt>
                <c:pt idx="3">
                  <c:v>2016</c:v>
                </c:pt>
                <c:pt idx="4">
                  <c:v>2017</c:v>
                </c:pt>
                <c:pt idx="5">
                  <c:v>2018</c:v>
                </c:pt>
                <c:pt idx="6">
                  <c:v>2019</c:v>
                </c:pt>
                <c:pt idx="7">
                  <c:v>2023</c:v>
                </c:pt>
              </c:numCache>
            </c:numRef>
          </c:cat>
          <c:val>
            <c:numRef>
              <c:f>'REvisions 2023'!$B$67:$B$74</c:f>
              <c:numCache>
                <c:formatCode>#,##0</c:formatCode>
                <c:ptCount val="8"/>
                <c:pt idx="0">
                  <c:v>201161</c:v>
                </c:pt>
                <c:pt idx="1">
                  <c:v>231852</c:v>
                </c:pt>
                <c:pt idx="2">
                  <c:v>149782</c:v>
                </c:pt>
                <c:pt idx="3">
                  <c:v>144952</c:v>
                </c:pt>
                <c:pt idx="4">
                  <c:v>228595</c:v>
                </c:pt>
                <c:pt idx="5">
                  <c:v>188551</c:v>
                </c:pt>
                <c:pt idx="6">
                  <c:v>189456</c:v>
                </c:pt>
                <c:pt idx="7">
                  <c:v>189248</c:v>
                </c:pt>
              </c:numCache>
            </c:numRef>
          </c:val>
          <c:extLst>
            <c:ext xmlns:c16="http://schemas.microsoft.com/office/drawing/2014/chart" uri="{C3380CC4-5D6E-409C-BE32-E72D297353CC}">
              <c16:uniqueId val="{00000000-9011-41A0-9D57-3CEBF403DA72}"/>
            </c:ext>
          </c:extLst>
        </c:ser>
        <c:ser>
          <c:idx val="1"/>
          <c:order val="1"/>
          <c:tx>
            <c:strRef>
              <c:f>'REvisions 2023'!$C$66</c:f>
              <c:strCache>
                <c:ptCount val="1"/>
                <c:pt idx="0">
                  <c:v>Nights</c:v>
                </c:pt>
              </c:strCache>
            </c:strRef>
          </c:tx>
          <c:spPr>
            <a:solidFill>
              <a:schemeClr val="accent2"/>
            </a:solidFill>
            <a:ln>
              <a:noFill/>
            </a:ln>
            <a:effectLst/>
          </c:spPr>
          <c:invertIfNegative val="0"/>
          <c:cat>
            <c:numRef>
              <c:f>'REvisions 2023'!$A$67:$A$74</c:f>
              <c:numCache>
                <c:formatCode>General</c:formatCode>
                <c:ptCount val="8"/>
                <c:pt idx="0">
                  <c:v>2013</c:v>
                </c:pt>
                <c:pt idx="1">
                  <c:v>2014</c:v>
                </c:pt>
                <c:pt idx="2">
                  <c:v>2015</c:v>
                </c:pt>
                <c:pt idx="3">
                  <c:v>2016</c:v>
                </c:pt>
                <c:pt idx="4">
                  <c:v>2017</c:v>
                </c:pt>
                <c:pt idx="5">
                  <c:v>2018</c:v>
                </c:pt>
                <c:pt idx="6">
                  <c:v>2019</c:v>
                </c:pt>
                <c:pt idx="7">
                  <c:v>2023</c:v>
                </c:pt>
              </c:numCache>
            </c:numRef>
          </c:cat>
          <c:val>
            <c:numRef>
              <c:f>'REvisions 2023'!$C$67:$C$74</c:f>
              <c:numCache>
                <c:formatCode>#,##0</c:formatCode>
                <c:ptCount val="8"/>
                <c:pt idx="0">
                  <c:v>817881</c:v>
                </c:pt>
                <c:pt idx="1">
                  <c:v>769692</c:v>
                </c:pt>
                <c:pt idx="2">
                  <c:v>563238</c:v>
                </c:pt>
                <c:pt idx="3">
                  <c:v>726296</c:v>
                </c:pt>
                <c:pt idx="4">
                  <c:v>780583</c:v>
                </c:pt>
                <c:pt idx="5">
                  <c:v>704130</c:v>
                </c:pt>
                <c:pt idx="6">
                  <c:v>646945</c:v>
                </c:pt>
                <c:pt idx="7">
                  <c:v>650098</c:v>
                </c:pt>
              </c:numCache>
            </c:numRef>
          </c:val>
          <c:extLst>
            <c:ext xmlns:c16="http://schemas.microsoft.com/office/drawing/2014/chart" uri="{C3380CC4-5D6E-409C-BE32-E72D297353CC}">
              <c16:uniqueId val="{00000001-9011-41A0-9D57-3CEBF403DA72}"/>
            </c:ext>
          </c:extLst>
        </c:ser>
        <c:dLbls>
          <c:showLegendKey val="0"/>
          <c:showVal val="0"/>
          <c:showCatName val="0"/>
          <c:showSerName val="0"/>
          <c:showPercent val="0"/>
          <c:showBubbleSize val="0"/>
        </c:dLbls>
        <c:gapWidth val="100"/>
        <c:overlap val="-27"/>
        <c:axId val="636858191"/>
        <c:axId val="636846671"/>
      </c:barChart>
      <c:lineChart>
        <c:grouping val="standard"/>
        <c:varyColors val="0"/>
        <c:ser>
          <c:idx val="2"/>
          <c:order val="2"/>
          <c:tx>
            <c:strRef>
              <c:f>'REvisions 2023'!$D$66</c:f>
              <c:strCache>
                <c:ptCount val="1"/>
                <c:pt idx="0">
                  <c:v>Expenditure</c:v>
                </c:pt>
              </c:strCache>
            </c:strRef>
          </c:tx>
          <c:spPr>
            <a:ln w="34925" cap="rnd">
              <a:solidFill>
                <a:schemeClr val="accent3"/>
              </a:solidFill>
              <a:round/>
            </a:ln>
            <a:effectLst/>
          </c:spPr>
          <c:marker>
            <c:symbol val="none"/>
          </c:marker>
          <c:cat>
            <c:numRef>
              <c:f>'REvisions 2023'!$A$67:$A$74</c:f>
              <c:numCache>
                <c:formatCode>General</c:formatCode>
                <c:ptCount val="8"/>
                <c:pt idx="0">
                  <c:v>2013</c:v>
                </c:pt>
                <c:pt idx="1">
                  <c:v>2014</c:v>
                </c:pt>
                <c:pt idx="2">
                  <c:v>2015</c:v>
                </c:pt>
                <c:pt idx="3">
                  <c:v>2016</c:v>
                </c:pt>
                <c:pt idx="4">
                  <c:v>2017</c:v>
                </c:pt>
                <c:pt idx="5">
                  <c:v>2018</c:v>
                </c:pt>
                <c:pt idx="6">
                  <c:v>2019</c:v>
                </c:pt>
                <c:pt idx="7">
                  <c:v>2023</c:v>
                </c:pt>
              </c:numCache>
            </c:numRef>
          </c:cat>
          <c:val>
            <c:numRef>
              <c:f>'REvisions 2023'!$D$67:$D$74</c:f>
              <c:numCache>
                <c:formatCode>#,##0</c:formatCode>
                <c:ptCount val="8"/>
                <c:pt idx="0">
                  <c:v>21894975</c:v>
                </c:pt>
                <c:pt idx="1">
                  <c:v>28120012</c:v>
                </c:pt>
                <c:pt idx="2">
                  <c:v>22539092</c:v>
                </c:pt>
                <c:pt idx="3">
                  <c:v>25548339</c:v>
                </c:pt>
                <c:pt idx="4">
                  <c:v>32384669</c:v>
                </c:pt>
                <c:pt idx="5">
                  <c:v>26404319</c:v>
                </c:pt>
                <c:pt idx="6">
                  <c:v>31835206.6347537</c:v>
                </c:pt>
                <c:pt idx="7">
                  <c:v>33817781</c:v>
                </c:pt>
              </c:numCache>
            </c:numRef>
          </c:val>
          <c:smooth val="0"/>
          <c:extLst>
            <c:ext xmlns:c16="http://schemas.microsoft.com/office/drawing/2014/chart" uri="{C3380CC4-5D6E-409C-BE32-E72D297353CC}">
              <c16:uniqueId val="{00000002-9011-41A0-9D57-3CEBF403DA72}"/>
            </c:ext>
          </c:extLst>
        </c:ser>
        <c:dLbls>
          <c:showLegendKey val="0"/>
          <c:showVal val="0"/>
          <c:showCatName val="0"/>
          <c:showSerName val="0"/>
          <c:showPercent val="0"/>
          <c:showBubbleSize val="0"/>
        </c:dLbls>
        <c:marker val="1"/>
        <c:smooth val="0"/>
        <c:axId val="636852911"/>
        <c:axId val="636849071"/>
      </c:lineChart>
      <c:catAx>
        <c:axId val="636858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846671"/>
        <c:crosses val="autoZero"/>
        <c:auto val="1"/>
        <c:lblAlgn val="ctr"/>
        <c:lblOffset val="100"/>
        <c:noMultiLvlLbl val="0"/>
      </c:catAx>
      <c:valAx>
        <c:axId val="636846671"/>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858191"/>
        <c:crosses val="autoZero"/>
        <c:crossBetween val="between"/>
      </c:valAx>
      <c:valAx>
        <c:axId val="636849071"/>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852911"/>
        <c:crosses val="max"/>
        <c:crossBetween val="between"/>
      </c:valAx>
      <c:catAx>
        <c:axId val="636852911"/>
        <c:scaling>
          <c:orientation val="minMax"/>
        </c:scaling>
        <c:delete val="1"/>
        <c:axPos val="b"/>
        <c:numFmt formatCode="General" sourceLinked="1"/>
        <c:majorTickMark val="out"/>
        <c:minorTickMark val="none"/>
        <c:tickLblPos val="nextTo"/>
        <c:crossAx val="636849071"/>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'Tab2'!$C$27</c:f>
              <c:strCache>
                <c:ptCount val="1"/>
                <c:pt idx="0">
                  <c:v>Armagh City, Banbridge and Craigavon</c:v>
                </c:pt>
              </c:strCache>
            </c:strRef>
          </c:tx>
          <c:spPr>
            <a:solidFill>
              <a:schemeClr val="accent1"/>
            </a:solidFill>
            <a:ln>
              <a:noFill/>
            </a:ln>
            <a:effectLst/>
          </c:spPr>
          <c:invertIfNegative val="0"/>
          <c:cat>
            <c:strRef>
              <c:f>'Tab2'!$B$28:$B$30</c:f>
              <c:strCache>
                <c:ptCount val="3"/>
                <c:pt idx="0">
                  <c:v>Holiday / Pleasure / Leisure</c:v>
                </c:pt>
                <c:pt idx="1">
                  <c:v>Visiting Friends and Relatives</c:v>
                </c:pt>
                <c:pt idx="2">
                  <c:v>Business</c:v>
                </c:pt>
              </c:strCache>
            </c:strRef>
          </c:cat>
          <c:val>
            <c:numRef>
              <c:f>'Tab2'!$C$28:$C$30</c:f>
              <c:numCache>
                <c:formatCode>0%</c:formatCode>
                <c:ptCount val="3"/>
                <c:pt idx="0">
                  <c:v>0.33</c:v>
                </c:pt>
                <c:pt idx="1">
                  <c:v>0.56999999999999995</c:v>
                </c:pt>
                <c:pt idx="2">
                  <c:v>0.1</c:v>
                </c:pt>
              </c:numCache>
            </c:numRef>
          </c:val>
          <c:extLst>
            <c:ext xmlns:c16="http://schemas.microsoft.com/office/drawing/2014/chart" uri="{C3380CC4-5D6E-409C-BE32-E72D297353CC}">
              <c16:uniqueId val="{00000000-4A7C-4CFA-A95D-D4CE79DA7834}"/>
            </c:ext>
          </c:extLst>
        </c:ser>
        <c:ser>
          <c:idx val="1"/>
          <c:order val="1"/>
          <c:tx>
            <c:strRef>
              <c:f>'Tab2'!$D$27</c:f>
              <c:strCache>
                <c:ptCount val="1"/>
                <c:pt idx="0">
                  <c:v>Northern Ireland</c:v>
                </c:pt>
              </c:strCache>
            </c:strRef>
          </c:tx>
          <c:spPr>
            <a:solidFill>
              <a:schemeClr val="accent2"/>
            </a:solidFill>
            <a:ln>
              <a:noFill/>
            </a:ln>
            <a:effectLst/>
          </c:spPr>
          <c:invertIfNegative val="0"/>
          <c:cat>
            <c:strRef>
              <c:f>'Tab2'!$B$28:$B$30</c:f>
              <c:strCache>
                <c:ptCount val="3"/>
                <c:pt idx="0">
                  <c:v>Holiday / Pleasure / Leisure</c:v>
                </c:pt>
                <c:pt idx="1">
                  <c:v>Visiting Friends and Relatives</c:v>
                </c:pt>
                <c:pt idx="2">
                  <c:v>Business</c:v>
                </c:pt>
              </c:strCache>
            </c:strRef>
          </c:cat>
          <c:val>
            <c:numRef>
              <c:f>'Tab2'!$D$28:$D$30</c:f>
              <c:numCache>
                <c:formatCode>0%</c:formatCode>
                <c:ptCount val="3"/>
                <c:pt idx="0">
                  <c:v>0.51</c:v>
                </c:pt>
                <c:pt idx="1">
                  <c:v>0.38</c:v>
                </c:pt>
                <c:pt idx="2">
                  <c:v>0.11</c:v>
                </c:pt>
              </c:numCache>
            </c:numRef>
          </c:val>
          <c:extLst>
            <c:ext xmlns:c16="http://schemas.microsoft.com/office/drawing/2014/chart" uri="{C3380CC4-5D6E-409C-BE32-E72D297353CC}">
              <c16:uniqueId val="{00000001-4A7C-4CFA-A95D-D4CE79DA7834}"/>
            </c:ext>
          </c:extLst>
        </c:ser>
        <c:dLbls>
          <c:showLegendKey val="0"/>
          <c:showVal val="0"/>
          <c:showCatName val="0"/>
          <c:showSerName val="0"/>
          <c:showPercent val="0"/>
          <c:showBubbleSize val="0"/>
        </c:dLbls>
        <c:gapWidth val="182"/>
        <c:axId val="1685625504"/>
        <c:axId val="1685625984"/>
      </c:barChart>
      <c:catAx>
        <c:axId val="16856255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5625984"/>
        <c:crosses val="autoZero"/>
        <c:auto val="1"/>
        <c:lblAlgn val="ctr"/>
        <c:lblOffset val="100"/>
        <c:noMultiLvlLbl val="0"/>
      </c:catAx>
      <c:valAx>
        <c:axId val="1685625984"/>
        <c:scaling>
          <c:orientation val="minMax"/>
        </c:scaling>
        <c:delete val="0"/>
        <c:axPos val="b"/>
        <c:majorGridlines>
          <c:spPr>
            <a:ln w="9525" cap="flat" cmpd="sng" algn="ctr">
              <a:solidFill>
                <a:schemeClr val="tx1">
                  <a:lumMod val="15000"/>
                  <a:lumOff val="85000"/>
                </a:schemeClr>
              </a:solidFill>
              <a:prstDash val="lgDashDotDot"/>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5625504"/>
        <c:crosses val="autoZero"/>
        <c:crossBetween val="between"/>
      </c:valAx>
      <c:spPr>
        <a:noFill/>
        <a:ln>
          <a:noFill/>
        </a:ln>
        <a:effectLst/>
      </c:spPr>
    </c:plotArea>
    <c:legend>
      <c:legendPos val="b"/>
      <c:layout>
        <c:manualLayout>
          <c:xMode val="edge"/>
          <c:yMode val="edge"/>
          <c:x val="0.17493319556774861"/>
          <c:y val="0.90273912096519904"/>
          <c:w val="0.69035482555630767"/>
          <c:h val="7.281847537780675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'REvisions 2023'!$B$120</c:f>
              <c:strCache>
                <c:ptCount val="1"/>
                <c:pt idx="0">
                  <c:v>Armagh City, Banbridge and Craigavon</c:v>
                </c:pt>
              </c:strCache>
            </c:strRef>
          </c:tx>
          <c:spPr>
            <a:solidFill>
              <a:schemeClr val="accent1"/>
            </a:solidFill>
            <a:ln>
              <a:noFill/>
            </a:ln>
            <a:effectLst/>
          </c:spPr>
          <c:invertIfNegative val="0"/>
          <c:cat>
            <c:strRef>
              <c:f>'REvisions 2023'!$A$121:$A$123</c:f>
              <c:strCache>
                <c:ptCount val="3"/>
                <c:pt idx="0">
                  <c:v>Northern Ireland</c:v>
                </c:pt>
                <c:pt idx="1">
                  <c:v>Great Britain</c:v>
                </c:pt>
                <c:pt idx="2">
                  <c:v>Other </c:v>
                </c:pt>
              </c:strCache>
            </c:strRef>
          </c:cat>
          <c:val>
            <c:numRef>
              <c:f>'REvisions 2023'!$B$121:$B$123</c:f>
              <c:numCache>
                <c:formatCode>0%</c:formatCode>
                <c:ptCount val="3"/>
                <c:pt idx="0">
                  <c:v>0.4</c:v>
                </c:pt>
                <c:pt idx="1">
                  <c:v>0.27</c:v>
                </c:pt>
                <c:pt idx="2">
                  <c:v>0.33</c:v>
                </c:pt>
              </c:numCache>
            </c:numRef>
          </c:val>
          <c:extLst>
            <c:ext xmlns:c16="http://schemas.microsoft.com/office/drawing/2014/chart" uri="{C3380CC4-5D6E-409C-BE32-E72D297353CC}">
              <c16:uniqueId val="{00000000-1098-4DAB-BD03-4D8672E5F400}"/>
            </c:ext>
          </c:extLst>
        </c:ser>
        <c:ser>
          <c:idx val="1"/>
          <c:order val="1"/>
          <c:tx>
            <c:strRef>
              <c:f>'REvisions 2023'!$C$120</c:f>
              <c:strCache>
                <c:ptCount val="1"/>
                <c:pt idx="0">
                  <c:v>Northern Ireland</c:v>
                </c:pt>
              </c:strCache>
            </c:strRef>
          </c:tx>
          <c:spPr>
            <a:solidFill>
              <a:schemeClr val="accent2"/>
            </a:solidFill>
            <a:ln>
              <a:noFill/>
            </a:ln>
            <a:effectLst/>
          </c:spPr>
          <c:invertIfNegative val="0"/>
          <c:cat>
            <c:strRef>
              <c:f>'REvisions 2023'!$A$121:$A$123</c:f>
              <c:strCache>
                <c:ptCount val="3"/>
                <c:pt idx="0">
                  <c:v>Northern Ireland</c:v>
                </c:pt>
                <c:pt idx="1">
                  <c:v>Great Britain</c:v>
                </c:pt>
                <c:pt idx="2">
                  <c:v>Other </c:v>
                </c:pt>
              </c:strCache>
            </c:strRef>
          </c:cat>
          <c:val>
            <c:numRef>
              <c:f>'REvisions 2023'!$C$121:$C$123</c:f>
              <c:numCache>
                <c:formatCode>0%</c:formatCode>
                <c:ptCount val="3"/>
                <c:pt idx="0">
                  <c:v>0.39</c:v>
                </c:pt>
                <c:pt idx="1">
                  <c:v>0.27</c:v>
                </c:pt>
                <c:pt idx="2">
                  <c:v>0.34</c:v>
                </c:pt>
              </c:numCache>
            </c:numRef>
          </c:val>
          <c:extLst>
            <c:ext xmlns:c16="http://schemas.microsoft.com/office/drawing/2014/chart" uri="{C3380CC4-5D6E-409C-BE32-E72D297353CC}">
              <c16:uniqueId val="{00000001-1098-4DAB-BD03-4D8672E5F400}"/>
            </c:ext>
          </c:extLst>
        </c:ser>
        <c:dLbls>
          <c:showLegendKey val="0"/>
          <c:showVal val="0"/>
          <c:showCatName val="0"/>
          <c:showSerName val="0"/>
          <c:showPercent val="0"/>
          <c:showBubbleSize val="0"/>
        </c:dLbls>
        <c:gapWidth val="182"/>
        <c:axId val="1410233104"/>
        <c:axId val="1410233584"/>
      </c:barChart>
      <c:catAx>
        <c:axId val="1410233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0233584"/>
        <c:crosses val="autoZero"/>
        <c:auto val="1"/>
        <c:lblAlgn val="ctr"/>
        <c:lblOffset val="100"/>
        <c:noMultiLvlLbl val="0"/>
      </c:catAx>
      <c:valAx>
        <c:axId val="1410233584"/>
        <c:scaling>
          <c:orientation val="minMax"/>
        </c:scaling>
        <c:delete val="0"/>
        <c:axPos val="b"/>
        <c:majorGridlines>
          <c:spPr>
            <a:ln w="9525" cap="flat" cmpd="sng" algn="ctr">
              <a:solidFill>
                <a:schemeClr val="tx1">
                  <a:lumMod val="15000"/>
                  <a:lumOff val="85000"/>
                </a:schemeClr>
              </a:solidFill>
              <a:prstDash val="lgDashDotDot"/>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0233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'No business'!$P$11</c:f>
              <c:strCache>
                <c:ptCount val="1"/>
                <c:pt idx="0">
                  <c:v>No. of Tourism Businesses</c:v>
                </c:pt>
              </c:strCache>
            </c:strRef>
          </c:tx>
          <c:spPr>
            <a:ln w="28575" cap="rnd">
              <a:solidFill>
                <a:schemeClr val="accent1"/>
              </a:solidFill>
              <a:round/>
            </a:ln>
            <a:effectLst/>
          </c:spPr>
          <c:marker>
            <c:symbol val="none"/>
          </c:marker>
          <c:cat>
            <c:numRef>
              <c:f>'No business'!$O$12:$O$20</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'No business'!$P$12:$P$20</c:f>
              <c:numCache>
                <c:formatCode>General</c:formatCode>
                <c:ptCount val="9"/>
                <c:pt idx="0">
                  <c:v>435</c:v>
                </c:pt>
                <c:pt idx="1">
                  <c:v>460</c:v>
                </c:pt>
                <c:pt idx="2">
                  <c:v>480</c:v>
                </c:pt>
                <c:pt idx="3">
                  <c:v>475</c:v>
                </c:pt>
                <c:pt idx="4">
                  <c:v>500</c:v>
                </c:pt>
                <c:pt idx="5">
                  <c:v>495</c:v>
                </c:pt>
                <c:pt idx="6">
                  <c:v>495</c:v>
                </c:pt>
                <c:pt idx="7">
                  <c:v>555</c:v>
                </c:pt>
                <c:pt idx="8">
                  <c:v>540</c:v>
                </c:pt>
              </c:numCache>
            </c:numRef>
          </c:val>
          <c:smooth val="0"/>
          <c:extLst>
            <c:ext xmlns:c16="http://schemas.microsoft.com/office/drawing/2014/chart" uri="{C3380CC4-5D6E-409C-BE32-E72D297353CC}">
              <c16:uniqueId val="{00000000-0AFE-4EDE-8669-21C38D1AFE1D}"/>
            </c:ext>
          </c:extLst>
        </c:ser>
        <c:dLbls>
          <c:showLegendKey val="0"/>
          <c:showVal val="0"/>
          <c:showCatName val="0"/>
          <c:showSerName val="0"/>
          <c:showPercent val="0"/>
          <c:showBubbleSize val="0"/>
        </c:dLbls>
        <c:smooth val="0"/>
        <c:axId val="230770640"/>
        <c:axId val="230762960"/>
      </c:lineChart>
      <c:catAx>
        <c:axId val="23077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762960"/>
        <c:crosses val="autoZero"/>
        <c:auto val="1"/>
        <c:lblAlgn val="ctr"/>
        <c:lblOffset val="100"/>
        <c:noMultiLvlLbl val="0"/>
      </c:catAx>
      <c:valAx>
        <c:axId val="230762960"/>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770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Gross weekly median pay </a:t>
            </a:r>
            <a:r>
              <a:rPr lang="en-GB" sz="1200" baseline="0"/>
              <a:t>in Tourism Industry by home address</a:t>
            </a:r>
            <a:endParaRPr lang="en-GB"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6.4788518523028346E-2"/>
          <c:y val="0.13672682102023986"/>
          <c:w val="0.91019584894497418"/>
          <c:h val="0.59537592859281652"/>
        </c:manualLayout>
      </c:layout>
      <c:barChart>
        <c:barDir val="col"/>
        <c:grouping val="clustered"/>
        <c:varyColors val="0"/>
        <c:ser>
          <c:idx val="0"/>
          <c:order val="0"/>
          <c:tx>
            <c:strRef>
              <c:f>wages!$B$53</c:f>
              <c:strCache>
                <c:ptCount val="1"/>
                <c:pt idx="0">
                  <c:v>2022</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wages!$A$54:$A$58</c:f>
              <c:strCache>
                <c:ptCount val="5"/>
                <c:pt idx="0">
                  <c:v>Armagh City, Banbridge and Craigavon</c:v>
                </c:pt>
                <c:pt idx="1">
                  <c:v>Belfast</c:v>
                </c:pt>
                <c:pt idx="2">
                  <c:v>Causeway Coast and Glens</c:v>
                </c:pt>
                <c:pt idx="3">
                  <c:v>Newry, Mourne and Down</c:v>
                </c:pt>
                <c:pt idx="4">
                  <c:v>Northern Ireland</c:v>
                </c:pt>
              </c:strCache>
            </c:strRef>
          </c:cat>
          <c:val>
            <c:numRef>
              <c:f>wages!$B$54:$B$58</c:f>
              <c:numCache>
                <c:formatCode>"£"#,##0.00</c:formatCode>
                <c:ptCount val="5"/>
                <c:pt idx="0">
                  <c:v>392.1</c:v>
                </c:pt>
                <c:pt idx="1">
                  <c:v>320.3</c:v>
                </c:pt>
                <c:pt idx="2">
                  <c:v>361</c:v>
                </c:pt>
                <c:pt idx="3">
                  <c:v>262.89999999999998</c:v>
                </c:pt>
                <c:pt idx="4">
                  <c:v>322</c:v>
                </c:pt>
              </c:numCache>
            </c:numRef>
          </c:val>
          <c:extLst>
            <c:ext xmlns:c16="http://schemas.microsoft.com/office/drawing/2014/chart" uri="{C3380CC4-5D6E-409C-BE32-E72D297353CC}">
              <c16:uniqueId val="{00000000-AFAC-47A0-9587-A97DA2F5A6A7}"/>
            </c:ext>
          </c:extLst>
        </c:ser>
        <c:ser>
          <c:idx val="1"/>
          <c:order val="1"/>
          <c:tx>
            <c:strRef>
              <c:f>wages!$C$53</c:f>
              <c:strCache>
                <c:ptCount val="1"/>
                <c:pt idx="0">
                  <c:v>2023</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wages!$A$54:$A$58</c:f>
              <c:strCache>
                <c:ptCount val="5"/>
                <c:pt idx="0">
                  <c:v>Armagh City, Banbridge and Craigavon</c:v>
                </c:pt>
                <c:pt idx="1">
                  <c:v>Belfast</c:v>
                </c:pt>
                <c:pt idx="2">
                  <c:v>Causeway Coast and Glens</c:v>
                </c:pt>
                <c:pt idx="3">
                  <c:v>Newry, Mourne and Down</c:v>
                </c:pt>
                <c:pt idx="4">
                  <c:v>Northern Ireland</c:v>
                </c:pt>
              </c:strCache>
            </c:strRef>
          </c:cat>
          <c:val>
            <c:numRef>
              <c:f>wages!$C$54:$C$58</c:f>
              <c:numCache>
                <c:formatCode>"£"#,##0.00</c:formatCode>
                <c:ptCount val="5"/>
                <c:pt idx="0">
                  <c:v>384.8</c:v>
                </c:pt>
                <c:pt idx="1">
                  <c:v>314.89999999999998</c:v>
                </c:pt>
                <c:pt idx="2">
                  <c:v>395.2</c:v>
                </c:pt>
                <c:pt idx="3">
                  <c:v>187.1</c:v>
                </c:pt>
                <c:pt idx="4">
                  <c:v>323.5</c:v>
                </c:pt>
              </c:numCache>
            </c:numRef>
          </c:val>
          <c:extLst>
            <c:ext xmlns:c16="http://schemas.microsoft.com/office/drawing/2014/chart" uri="{C3380CC4-5D6E-409C-BE32-E72D297353CC}">
              <c16:uniqueId val="{00000001-AFAC-47A0-9587-A97DA2F5A6A7}"/>
            </c:ext>
          </c:extLst>
        </c:ser>
        <c:dLbls>
          <c:showLegendKey val="0"/>
          <c:showVal val="0"/>
          <c:showCatName val="0"/>
          <c:showSerName val="0"/>
          <c:showPercent val="0"/>
          <c:showBubbleSize val="0"/>
        </c:dLbls>
        <c:gapWidth val="150"/>
        <c:axId val="1485339232"/>
        <c:axId val="1485337792"/>
      </c:barChart>
      <c:lineChart>
        <c:grouping val="standard"/>
        <c:varyColors val="0"/>
        <c:ser>
          <c:idx val="2"/>
          <c:order val="2"/>
          <c:tx>
            <c:strRef>
              <c:f>wages!$D$53</c:f>
              <c:strCache>
                <c:ptCount val="1"/>
                <c:pt idx="0">
                  <c:v>Difference in Tourism pay and average for All Industries </c:v>
                </c:pt>
              </c:strCache>
            </c:strRef>
          </c:tx>
          <c:spPr>
            <a:ln w="28575" cap="rnd">
              <a:solidFill>
                <a:srgbClr val="002060"/>
              </a:solidFill>
              <a:round/>
            </a:ln>
            <a:effectLst/>
          </c:spPr>
          <c:marker>
            <c:symbol val="none"/>
          </c:marker>
          <c:dPt>
            <c:idx val="1"/>
            <c:marker>
              <c:symbol val="none"/>
            </c:marker>
            <c:bubble3D val="0"/>
            <c:spPr>
              <a:ln w="28575" cap="rnd">
                <a:solidFill>
                  <a:srgbClr val="002060"/>
                </a:solidFill>
                <a:round/>
              </a:ln>
              <a:effectLst/>
            </c:spPr>
            <c:extLst>
              <c:ext xmlns:c16="http://schemas.microsoft.com/office/drawing/2014/chart" uri="{C3380CC4-5D6E-409C-BE32-E72D297353CC}">
                <c16:uniqueId val="{00000006-AFAC-47A0-9587-A97DA2F5A6A7}"/>
              </c:ext>
            </c:extLst>
          </c:dPt>
          <c:dPt>
            <c:idx val="2"/>
            <c:marker>
              <c:symbol val="none"/>
            </c:marker>
            <c:bubble3D val="0"/>
            <c:spPr>
              <a:ln w="28575" cap="rnd">
                <a:solidFill>
                  <a:srgbClr val="002060"/>
                </a:solidFill>
                <a:round/>
              </a:ln>
              <a:effectLst/>
            </c:spPr>
            <c:extLst>
              <c:ext xmlns:c16="http://schemas.microsoft.com/office/drawing/2014/chart" uri="{C3380CC4-5D6E-409C-BE32-E72D297353CC}">
                <c16:uniqueId val="{00000005-AFAC-47A0-9587-A97DA2F5A6A7}"/>
              </c:ext>
            </c:extLst>
          </c:dPt>
          <c:dPt>
            <c:idx val="3"/>
            <c:marker>
              <c:symbol val="none"/>
            </c:marker>
            <c:bubble3D val="0"/>
            <c:spPr>
              <a:ln w="28575" cap="rnd">
                <a:solidFill>
                  <a:srgbClr val="002060"/>
                </a:solidFill>
                <a:round/>
              </a:ln>
              <a:effectLst/>
            </c:spPr>
            <c:extLst>
              <c:ext xmlns:c16="http://schemas.microsoft.com/office/drawing/2014/chart" uri="{C3380CC4-5D6E-409C-BE32-E72D297353CC}">
                <c16:uniqueId val="{00000004-AFAC-47A0-9587-A97DA2F5A6A7}"/>
              </c:ext>
            </c:extLst>
          </c:dPt>
          <c:dPt>
            <c:idx val="4"/>
            <c:marker>
              <c:symbol val="none"/>
            </c:marker>
            <c:bubble3D val="0"/>
            <c:spPr>
              <a:ln w="28575" cap="rnd">
                <a:solidFill>
                  <a:srgbClr val="002060"/>
                </a:solidFill>
                <a:round/>
              </a:ln>
              <a:effectLst/>
            </c:spPr>
            <c:extLst>
              <c:ext xmlns:c16="http://schemas.microsoft.com/office/drawing/2014/chart" uri="{C3380CC4-5D6E-409C-BE32-E72D297353CC}">
                <c16:uniqueId val="{00000003-AFAC-47A0-9587-A97DA2F5A6A7}"/>
              </c:ext>
            </c:extLst>
          </c:dPt>
          <c:cat>
            <c:strRef>
              <c:f>wages!$A$54:$A$58</c:f>
              <c:strCache>
                <c:ptCount val="5"/>
                <c:pt idx="0">
                  <c:v>Armagh City, Banbridge and Craigavon</c:v>
                </c:pt>
                <c:pt idx="1">
                  <c:v>Belfast</c:v>
                </c:pt>
                <c:pt idx="2">
                  <c:v>Causeway Coast and Glens</c:v>
                </c:pt>
                <c:pt idx="3">
                  <c:v>Newry, Mourne and Down</c:v>
                </c:pt>
                <c:pt idx="4">
                  <c:v>Northern Ireland</c:v>
                </c:pt>
              </c:strCache>
            </c:strRef>
          </c:cat>
          <c:val>
            <c:numRef>
              <c:f>wages!$D$54:$D$58</c:f>
              <c:numCache>
                <c:formatCode>"£"#,##0.00</c:formatCode>
                <c:ptCount val="5"/>
                <c:pt idx="0">
                  <c:v>-140.90000000000003</c:v>
                </c:pt>
                <c:pt idx="1">
                  <c:v>-200.70000000000005</c:v>
                </c:pt>
                <c:pt idx="2">
                  <c:v>-101.40000000000003</c:v>
                </c:pt>
                <c:pt idx="3">
                  <c:v>-306.39999999999998</c:v>
                </c:pt>
                <c:pt idx="4">
                  <c:v>-205.39999999999998</c:v>
                </c:pt>
              </c:numCache>
            </c:numRef>
          </c:val>
          <c:smooth val="0"/>
          <c:extLst>
            <c:ext xmlns:c16="http://schemas.microsoft.com/office/drawing/2014/chart" uri="{C3380CC4-5D6E-409C-BE32-E72D297353CC}">
              <c16:uniqueId val="{00000002-AFAC-47A0-9587-A97DA2F5A6A7}"/>
            </c:ext>
          </c:extLst>
        </c:ser>
        <c:dLbls>
          <c:showLegendKey val="0"/>
          <c:showVal val="0"/>
          <c:showCatName val="0"/>
          <c:showSerName val="0"/>
          <c:showPercent val="0"/>
          <c:showBubbleSize val="0"/>
        </c:dLbls>
        <c:marker val="1"/>
        <c:smooth val="0"/>
        <c:axId val="1356814784"/>
        <c:axId val="1356814304"/>
      </c:lineChart>
      <c:catAx>
        <c:axId val="1485339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337792"/>
        <c:crosses val="autoZero"/>
        <c:auto val="1"/>
        <c:lblAlgn val="ctr"/>
        <c:lblOffset val="100"/>
        <c:noMultiLvlLbl val="0"/>
      </c:catAx>
      <c:valAx>
        <c:axId val="1485337792"/>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339232"/>
        <c:crosses val="autoZero"/>
        <c:crossBetween val="between"/>
      </c:valAx>
      <c:valAx>
        <c:axId val="1356814304"/>
        <c:scaling>
          <c:orientation val="minMax"/>
        </c:scaling>
        <c:delete val="0"/>
        <c:axPos val="r"/>
        <c:numFmt formatCode="&quot;£&quot;#,##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56814784"/>
        <c:crosses val="max"/>
        <c:crossBetween val="between"/>
      </c:valAx>
      <c:catAx>
        <c:axId val="1356814784"/>
        <c:scaling>
          <c:orientation val="minMax"/>
        </c:scaling>
        <c:delete val="1"/>
        <c:axPos val="b"/>
        <c:numFmt formatCode="General" sourceLinked="1"/>
        <c:majorTickMark val="out"/>
        <c:minorTickMark val="none"/>
        <c:tickLblPos val="nextTo"/>
        <c:crossAx val="1356814304"/>
        <c:crosses val="autoZero"/>
        <c:auto val="1"/>
        <c:lblAlgn val="ctr"/>
        <c:lblOffset val="100"/>
        <c:noMultiLvlLbl val="0"/>
      </c:catAx>
      <c:spPr>
        <a:noFill/>
        <a:ln>
          <a:noFill/>
        </a:ln>
        <a:effectLst/>
      </c:spPr>
    </c:plotArea>
    <c:legend>
      <c:legendPos val="b"/>
      <c:layout>
        <c:manualLayout>
          <c:xMode val="edge"/>
          <c:yMode val="edge"/>
          <c:x val="2.7292807654527337E-2"/>
          <c:y val="0.92775444736074653"/>
          <c:w val="0.96935772129474995"/>
          <c:h val="6.748711966559735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t>Gross weekly</a:t>
            </a:r>
            <a:r>
              <a:rPr lang="en-GB" sz="1200" baseline="0"/>
              <a:t> median pay in Tourism Industry by work address</a:t>
            </a:r>
            <a:endParaRPr lang="en-GB"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GB"/>
        </a:p>
      </c:txPr>
    </c:title>
    <c:autoTitleDeleted val="0"/>
    <c:plotArea>
      <c:layout>
        <c:manualLayout>
          <c:layoutTarget val="inner"/>
          <c:xMode val="edge"/>
          <c:yMode val="edge"/>
          <c:x val="6.6303907017810387E-2"/>
          <c:y val="0.13664594151725731"/>
          <c:w val="0.90809535057898538"/>
          <c:h val="0.62535265283620378"/>
        </c:manualLayout>
      </c:layout>
      <c:barChart>
        <c:barDir val="col"/>
        <c:grouping val="clustered"/>
        <c:varyColors val="0"/>
        <c:ser>
          <c:idx val="0"/>
          <c:order val="0"/>
          <c:tx>
            <c:strRef>
              <c:f>wages!$B$61</c:f>
              <c:strCache>
                <c:ptCount val="1"/>
                <c:pt idx="0">
                  <c:v>2022</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wages!$A$62:$A$66</c:f>
              <c:strCache>
                <c:ptCount val="5"/>
                <c:pt idx="0">
                  <c:v>Armagh City, Banbridge and Craigavon</c:v>
                </c:pt>
                <c:pt idx="1">
                  <c:v>Belfast</c:v>
                </c:pt>
                <c:pt idx="2">
                  <c:v>Causeway Coast and Glens</c:v>
                </c:pt>
                <c:pt idx="3">
                  <c:v>Newry, Mourne and Down</c:v>
                </c:pt>
                <c:pt idx="4">
                  <c:v>Northern Ireland</c:v>
                </c:pt>
              </c:strCache>
            </c:strRef>
          </c:cat>
          <c:val>
            <c:numRef>
              <c:f>wages!$B$62:$B$66</c:f>
              <c:numCache>
                <c:formatCode>"£"#,##0.00</c:formatCode>
                <c:ptCount val="5"/>
                <c:pt idx="0">
                  <c:v>402.5</c:v>
                </c:pt>
                <c:pt idx="1">
                  <c:v>369.7</c:v>
                </c:pt>
                <c:pt idx="2">
                  <c:v>361</c:v>
                </c:pt>
                <c:pt idx="3">
                  <c:v>250</c:v>
                </c:pt>
                <c:pt idx="4">
                  <c:v>322</c:v>
                </c:pt>
              </c:numCache>
            </c:numRef>
          </c:val>
          <c:extLst>
            <c:ext xmlns:c16="http://schemas.microsoft.com/office/drawing/2014/chart" uri="{C3380CC4-5D6E-409C-BE32-E72D297353CC}">
              <c16:uniqueId val="{00000000-8070-434C-A721-357F8897D67A}"/>
            </c:ext>
          </c:extLst>
        </c:ser>
        <c:ser>
          <c:idx val="1"/>
          <c:order val="1"/>
          <c:tx>
            <c:strRef>
              <c:f>wages!$C$61</c:f>
              <c:strCache>
                <c:ptCount val="1"/>
                <c:pt idx="0">
                  <c:v>2023</c:v>
                </c:pt>
              </c:strCache>
            </c:strRef>
          </c:tx>
          <c:spPr>
            <a:solidFill>
              <a:schemeClr val="accent2"/>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wages!$A$62:$A$66</c:f>
              <c:strCache>
                <c:ptCount val="5"/>
                <c:pt idx="0">
                  <c:v>Armagh City, Banbridge and Craigavon</c:v>
                </c:pt>
                <c:pt idx="1">
                  <c:v>Belfast</c:v>
                </c:pt>
                <c:pt idx="2">
                  <c:v>Causeway Coast and Glens</c:v>
                </c:pt>
                <c:pt idx="3">
                  <c:v>Newry, Mourne and Down</c:v>
                </c:pt>
                <c:pt idx="4">
                  <c:v>Northern Ireland</c:v>
                </c:pt>
              </c:strCache>
            </c:strRef>
          </c:cat>
          <c:val>
            <c:numRef>
              <c:f>wages!$C$62:$C$66</c:f>
              <c:numCache>
                <c:formatCode>"£"#,##0.00</c:formatCode>
                <c:ptCount val="5"/>
                <c:pt idx="0">
                  <c:v>420</c:v>
                </c:pt>
                <c:pt idx="1">
                  <c:v>350.1</c:v>
                </c:pt>
                <c:pt idx="2">
                  <c:v>395.2</c:v>
                </c:pt>
                <c:pt idx="3">
                  <c:v>175</c:v>
                </c:pt>
                <c:pt idx="4">
                  <c:v>323.5</c:v>
                </c:pt>
              </c:numCache>
            </c:numRef>
          </c:val>
          <c:extLst>
            <c:ext xmlns:c16="http://schemas.microsoft.com/office/drawing/2014/chart" uri="{C3380CC4-5D6E-409C-BE32-E72D297353CC}">
              <c16:uniqueId val="{00000001-8070-434C-A721-357F8897D67A}"/>
            </c:ext>
          </c:extLst>
        </c:ser>
        <c:dLbls>
          <c:showLegendKey val="0"/>
          <c:showVal val="0"/>
          <c:showCatName val="0"/>
          <c:showSerName val="0"/>
          <c:showPercent val="0"/>
          <c:showBubbleSize val="0"/>
        </c:dLbls>
        <c:gapWidth val="150"/>
        <c:axId val="1498478592"/>
        <c:axId val="1498481952"/>
      </c:barChart>
      <c:lineChart>
        <c:grouping val="standard"/>
        <c:varyColors val="0"/>
        <c:ser>
          <c:idx val="2"/>
          <c:order val="2"/>
          <c:tx>
            <c:strRef>
              <c:f>wages!$D$61</c:f>
              <c:strCache>
                <c:ptCount val="1"/>
                <c:pt idx="0">
                  <c:v>Difference in Tourism pay and average for All Industries </c:v>
                </c:pt>
              </c:strCache>
            </c:strRef>
          </c:tx>
          <c:spPr>
            <a:ln w="28575" cap="rnd">
              <a:solidFill>
                <a:srgbClr val="002060"/>
              </a:solidFill>
              <a:round/>
            </a:ln>
            <a:effectLst/>
          </c:spPr>
          <c:marker>
            <c:symbol val="none"/>
          </c:marker>
          <c:cat>
            <c:strRef>
              <c:f>wages!$A$62:$A$66</c:f>
              <c:strCache>
                <c:ptCount val="5"/>
                <c:pt idx="0">
                  <c:v>Armagh City, Banbridge and Craigavon</c:v>
                </c:pt>
                <c:pt idx="1">
                  <c:v>Belfast</c:v>
                </c:pt>
                <c:pt idx="2">
                  <c:v>Causeway Coast and Glens</c:v>
                </c:pt>
                <c:pt idx="3">
                  <c:v>Newry, Mourne and Down</c:v>
                </c:pt>
                <c:pt idx="4">
                  <c:v>Northern Ireland</c:v>
                </c:pt>
              </c:strCache>
            </c:strRef>
          </c:cat>
          <c:val>
            <c:numRef>
              <c:f>wages!$D$62:$D$66</c:f>
              <c:numCache>
                <c:formatCode>"£"#,##0.00</c:formatCode>
                <c:ptCount val="5"/>
                <c:pt idx="0">
                  <c:v>-98.5</c:v>
                </c:pt>
                <c:pt idx="1">
                  <c:v>-246.69999999999993</c:v>
                </c:pt>
                <c:pt idx="2">
                  <c:v>-63.900000000000034</c:v>
                </c:pt>
                <c:pt idx="3">
                  <c:v>-306.60000000000002</c:v>
                </c:pt>
                <c:pt idx="4">
                  <c:v>-205.39999999999998</c:v>
                </c:pt>
              </c:numCache>
            </c:numRef>
          </c:val>
          <c:smooth val="0"/>
          <c:extLst>
            <c:ext xmlns:c16="http://schemas.microsoft.com/office/drawing/2014/chart" uri="{C3380CC4-5D6E-409C-BE32-E72D297353CC}">
              <c16:uniqueId val="{00000002-8070-434C-A721-357F8897D67A}"/>
            </c:ext>
          </c:extLst>
        </c:ser>
        <c:dLbls>
          <c:showLegendKey val="0"/>
          <c:showVal val="0"/>
          <c:showCatName val="0"/>
          <c:showSerName val="0"/>
          <c:showPercent val="0"/>
          <c:showBubbleSize val="0"/>
        </c:dLbls>
        <c:marker val="1"/>
        <c:smooth val="0"/>
        <c:axId val="1498458544"/>
        <c:axId val="1498457584"/>
      </c:lineChart>
      <c:catAx>
        <c:axId val="1498478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8481952"/>
        <c:crosses val="autoZero"/>
        <c:auto val="1"/>
        <c:lblAlgn val="ctr"/>
        <c:lblOffset val="100"/>
        <c:noMultiLvlLbl val="0"/>
      </c:catAx>
      <c:valAx>
        <c:axId val="1498481952"/>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8478592"/>
        <c:crosses val="autoZero"/>
        <c:crossBetween val="between"/>
      </c:valAx>
      <c:valAx>
        <c:axId val="1498457584"/>
        <c:scaling>
          <c:orientation val="minMax"/>
        </c:scaling>
        <c:delete val="0"/>
        <c:axPos val="r"/>
        <c:numFmt formatCode="&quot;£&quot;#,##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8458544"/>
        <c:crosses val="max"/>
        <c:crossBetween val="between"/>
      </c:valAx>
      <c:catAx>
        <c:axId val="1498458544"/>
        <c:scaling>
          <c:orientation val="minMax"/>
        </c:scaling>
        <c:delete val="1"/>
        <c:axPos val="b"/>
        <c:numFmt formatCode="General" sourceLinked="1"/>
        <c:majorTickMark val="out"/>
        <c:minorTickMark val="none"/>
        <c:tickLblPos val="nextTo"/>
        <c:crossAx val="1498457584"/>
        <c:crosses val="autoZero"/>
        <c:auto val="1"/>
        <c:lblAlgn val="ctr"/>
        <c:lblOffset val="100"/>
        <c:noMultiLvlLbl val="0"/>
      </c:catAx>
      <c:spPr>
        <a:noFill/>
        <a:ln>
          <a:noFill/>
        </a:ln>
        <a:effectLst/>
      </c:spPr>
    </c:plotArea>
    <c:legend>
      <c:legendPos val="b"/>
      <c:layout>
        <c:manualLayout>
          <c:xMode val="edge"/>
          <c:yMode val="edge"/>
          <c:x val="1.4282995401291547E-2"/>
          <c:y val="0.90517264109109652"/>
          <c:w val="0.97778969871599097"/>
          <c:h val="9.415405463229291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1.85162E-7</cdr:x>
      <cdr:y>0.22758</cdr:y>
    </cdr:from>
    <cdr:to>
      <cdr:x>0.05996</cdr:x>
      <cdr:y>0.56225</cdr:y>
    </cdr:to>
    <cdr:sp macro="" textlink="">
      <cdr:nvSpPr>
        <cdr:cNvPr id="2" name="TextBox 1">
          <a:extLst xmlns:a="http://schemas.openxmlformats.org/drawingml/2006/main">
            <a:ext uri="{FF2B5EF4-FFF2-40B4-BE49-F238E27FC236}">
              <a16:creationId xmlns:a16="http://schemas.microsoft.com/office/drawing/2014/main" id="{7B508073-EBFD-367A-47C3-B4DF57797FCD}"/>
            </a:ext>
          </a:extLst>
        </cdr:cNvPr>
        <cdr:cNvSpPr txBox="1"/>
      </cdr:nvSpPr>
      <cdr:spPr>
        <a:xfrm xmlns:a="http://schemas.openxmlformats.org/drawingml/2006/main" rot="16200000">
          <a:off x="-433387" y="1243013"/>
          <a:ext cx="1190625" cy="3238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kern="1200">
              <a:solidFill>
                <a:schemeClr val="tx1">
                  <a:lumMod val="50000"/>
                  <a:lumOff val="50000"/>
                </a:schemeClr>
              </a:solidFill>
            </a:rPr>
            <a:t>Number</a:t>
          </a:r>
          <a:r>
            <a:rPr lang="en-GB" sz="1100" kern="1200" baseline="0">
              <a:solidFill>
                <a:schemeClr val="tx1">
                  <a:lumMod val="50000"/>
                  <a:lumOff val="50000"/>
                </a:schemeClr>
              </a:solidFill>
            </a:rPr>
            <a:t> of Nights</a:t>
          </a:r>
          <a:endParaRPr lang="en-GB" sz="1100" kern="1200">
            <a:solidFill>
              <a:schemeClr val="tx1">
                <a:lumMod val="50000"/>
                <a:lumOff val="50000"/>
              </a:schemeClr>
            </a:solidFill>
          </a:endParaRPr>
        </a:p>
      </cdr:txBody>
    </cdr:sp>
  </cdr:relSizeAnchor>
  <cdr:relSizeAnchor xmlns:cdr="http://schemas.openxmlformats.org/drawingml/2006/chartDrawing">
    <cdr:from>
      <cdr:x>0.94709</cdr:x>
      <cdr:y>0.26104</cdr:y>
    </cdr:from>
    <cdr:to>
      <cdr:x>0.99471</cdr:x>
      <cdr:y>0.54752</cdr:y>
    </cdr:to>
    <cdr:sp macro="" textlink="">
      <cdr:nvSpPr>
        <cdr:cNvPr id="3" name="TextBox 2">
          <a:extLst xmlns:a="http://schemas.openxmlformats.org/drawingml/2006/main">
            <a:ext uri="{FF2B5EF4-FFF2-40B4-BE49-F238E27FC236}">
              <a16:creationId xmlns:a16="http://schemas.microsoft.com/office/drawing/2014/main" id="{BF0C85A2-F3D7-B64C-5BF4-B4D54863999A}"/>
            </a:ext>
          </a:extLst>
        </cdr:cNvPr>
        <cdr:cNvSpPr txBox="1"/>
      </cdr:nvSpPr>
      <cdr:spPr>
        <a:xfrm xmlns:a="http://schemas.openxmlformats.org/drawingml/2006/main" rot="5400000">
          <a:off x="4733925" y="1309688"/>
          <a:ext cx="1019175" cy="2571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kern="1200">
              <a:solidFill>
                <a:schemeClr val="tx1">
                  <a:lumMod val="50000"/>
                  <a:lumOff val="50000"/>
                </a:schemeClr>
              </a:solidFill>
            </a:rPr>
            <a:t>Expenditure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48113-E14B-4455-9033-6F1CE5013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1865</Words>
  <Characters>10635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Jessica Bennett</cp:lastModifiedBy>
  <cp:revision>4</cp:revision>
  <cp:lastPrinted>2024-09-05T08:46:00Z</cp:lastPrinted>
  <dcterms:created xsi:type="dcterms:W3CDTF">2025-01-28T11:34:00Z</dcterms:created>
  <dcterms:modified xsi:type="dcterms:W3CDTF">2025-03-26T16:32:00Z</dcterms:modified>
</cp:coreProperties>
</file>