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E5861" w14:textId="77777777" w:rsidR="00163756" w:rsidRDefault="00FD1406" w:rsidP="00163756">
      <w:pPr>
        <w:rPr>
          <w:b/>
        </w:rPr>
      </w:pPr>
      <w:r>
        <w:rPr>
          <w:b/>
        </w:rPr>
        <w:t>Town Centre Vacancy Rates</w:t>
      </w:r>
    </w:p>
    <w:p w14:paraId="3A217215" w14:textId="77777777" w:rsidR="00163756" w:rsidRDefault="00FD1406" w:rsidP="00163756">
      <w:r>
        <w:t>Vacancy rates for non-domestic properties are available for the five main city / town centres in the borough (Armagh, Banbridge, Craigavon, Lurgan and Portadown) and Dromore from the Town Centre Database (using data from Land and Property Services) produced by the Department for Communities.</w:t>
      </w:r>
      <w:r w:rsidR="004239CA">
        <w:t xml:space="preserve"> A property refers to a hereditament which is subject to rates and not individual buildings.</w:t>
      </w:r>
    </w:p>
    <w:p w14:paraId="3022583C" w14:textId="1F2F432C" w:rsidR="008F7B50" w:rsidRDefault="00936C9E" w:rsidP="00163756">
      <w:r w:rsidRPr="00EB4ADC">
        <w:t xml:space="preserve">As </w:t>
      </w:r>
      <w:proofErr w:type="gramStart"/>
      <w:r w:rsidRPr="00EB4ADC">
        <w:t>at</w:t>
      </w:r>
      <w:proofErr w:type="gramEnd"/>
      <w:r w:rsidRPr="00EB4ADC">
        <w:t xml:space="preserve"> </w:t>
      </w:r>
      <w:r w:rsidR="00354B28">
        <w:t>3</w:t>
      </w:r>
      <w:r w:rsidR="00DE0A7D">
        <w:t>1</w:t>
      </w:r>
      <w:r w:rsidR="00DE0A7D" w:rsidRPr="00DE0A7D">
        <w:rPr>
          <w:vertAlign w:val="superscript"/>
        </w:rPr>
        <w:t>st</w:t>
      </w:r>
      <w:r w:rsidR="00DE0A7D">
        <w:t xml:space="preserve"> October </w:t>
      </w:r>
      <w:r w:rsidR="00354B28">
        <w:t>2024</w:t>
      </w:r>
      <w:r w:rsidR="00FD1406" w:rsidRPr="00EB4ADC">
        <w:t xml:space="preserve">, vacancy rates in the </w:t>
      </w:r>
      <w:r w:rsidRPr="00EB4ADC">
        <w:t xml:space="preserve">borough varied from </w:t>
      </w:r>
      <w:r w:rsidR="00DE0A7D">
        <w:t>6</w:t>
      </w:r>
      <w:r w:rsidR="00354B28">
        <w:t>.9</w:t>
      </w:r>
      <w:r w:rsidRPr="00EB4ADC">
        <w:t xml:space="preserve">% in Craigavon to </w:t>
      </w:r>
      <w:r w:rsidR="00DE0A7D">
        <w:t>25.2</w:t>
      </w:r>
      <w:r w:rsidR="00FD1406" w:rsidRPr="00EB4ADC">
        <w:t xml:space="preserve">% in Dromore. </w:t>
      </w:r>
      <w:r w:rsidR="00D71F6B" w:rsidRPr="00EB4ADC">
        <w:t xml:space="preserve"> </w:t>
      </w:r>
      <w:r w:rsidR="00FD1406" w:rsidRPr="00EB4ADC">
        <w:t>This compares to a Northern Irela</w:t>
      </w:r>
      <w:r w:rsidRPr="00EB4ADC">
        <w:t xml:space="preserve">nd average vacancy level of </w:t>
      </w:r>
      <w:r w:rsidR="00EB4ADC" w:rsidRPr="00EB4ADC">
        <w:t>22.</w:t>
      </w:r>
      <w:r w:rsidR="00DE0A7D">
        <w:t>8</w:t>
      </w:r>
      <w:r w:rsidR="00FD1406" w:rsidRPr="00EB4ADC">
        <w:t>%.</w:t>
      </w:r>
    </w:p>
    <w:tbl>
      <w:tblPr>
        <w:tblStyle w:val="GridTable1Light"/>
        <w:tblW w:w="8020" w:type="dxa"/>
        <w:tblLook w:val="04A0" w:firstRow="1" w:lastRow="0" w:firstColumn="1" w:lastColumn="0" w:noHBand="0" w:noVBand="1"/>
      </w:tblPr>
      <w:tblGrid>
        <w:gridCol w:w="1780"/>
        <w:gridCol w:w="2080"/>
        <w:gridCol w:w="2080"/>
        <w:gridCol w:w="2080"/>
      </w:tblGrid>
      <w:tr w:rsidR="00354B28" w:rsidRPr="00354B28" w14:paraId="12EAF16E" w14:textId="77777777" w:rsidTr="00354B2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80" w:type="dxa"/>
            <w:noWrap/>
            <w:hideMark/>
          </w:tcPr>
          <w:p w14:paraId="6D18CF67" w14:textId="77777777" w:rsidR="00354B28" w:rsidRPr="00354B28" w:rsidRDefault="00354B28" w:rsidP="00354B28">
            <w:pPr>
              <w:rPr>
                <w:rFonts w:ascii="Calibri" w:eastAsia="Times New Roman" w:hAnsi="Calibri" w:cs="Calibri"/>
                <w:color w:val="000000"/>
                <w:lang w:eastAsia="en-GB"/>
              </w:rPr>
            </w:pPr>
            <w:r w:rsidRPr="00354B28">
              <w:rPr>
                <w:rFonts w:ascii="Calibri" w:eastAsia="Times New Roman" w:hAnsi="Calibri" w:cs="Calibri"/>
                <w:color w:val="000000"/>
                <w:lang w:eastAsia="en-GB"/>
              </w:rPr>
              <w:t> </w:t>
            </w:r>
          </w:p>
        </w:tc>
        <w:tc>
          <w:tcPr>
            <w:tcW w:w="6240" w:type="dxa"/>
            <w:gridSpan w:val="3"/>
            <w:noWrap/>
            <w:hideMark/>
          </w:tcPr>
          <w:p w14:paraId="6BD985B2" w14:textId="5258E432" w:rsidR="00354B28" w:rsidRPr="00354B28" w:rsidRDefault="00E60A23" w:rsidP="00354B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31</w:t>
            </w:r>
            <w:r w:rsidRPr="00E60A23">
              <w:rPr>
                <w:rFonts w:ascii="Calibri" w:eastAsia="Times New Roman" w:hAnsi="Calibri" w:cs="Calibri"/>
                <w:color w:val="000000"/>
                <w:vertAlign w:val="superscript"/>
                <w:lang w:eastAsia="en-GB"/>
              </w:rPr>
              <w:t>st</w:t>
            </w:r>
            <w:r>
              <w:rPr>
                <w:rFonts w:ascii="Calibri" w:eastAsia="Times New Roman" w:hAnsi="Calibri" w:cs="Calibri"/>
                <w:color w:val="000000"/>
                <w:lang w:eastAsia="en-GB"/>
              </w:rPr>
              <w:t xml:space="preserve"> October</w:t>
            </w:r>
            <w:r w:rsidR="00354B28" w:rsidRPr="00354B28">
              <w:rPr>
                <w:rFonts w:ascii="Calibri" w:eastAsia="Times New Roman" w:hAnsi="Calibri" w:cs="Calibri"/>
                <w:color w:val="000000"/>
                <w:lang w:eastAsia="en-GB"/>
              </w:rPr>
              <w:t xml:space="preserve"> 2024</w:t>
            </w:r>
          </w:p>
        </w:tc>
      </w:tr>
      <w:tr w:rsidR="00354B28" w:rsidRPr="00354B28" w14:paraId="728D786D" w14:textId="77777777" w:rsidTr="00354B28">
        <w:trPr>
          <w:trHeight w:val="576"/>
        </w:trPr>
        <w:tc>
          <w:tcPr>
            <w:cnfStyle w:val="001000000000" w:firstRow="0" w:lastRow="0" w:firstColumn="1" w:lastColumn="0" w:oddVBand="0" w:evenVBand="0" w:oddHBand="0" w:evenHBand="0" w:firstRowFirstColumn="0" w:firstRowLastColumn="0" w:lastRowFirstColumn="0" w:lastRowLastColumn="0"/>
            <w:tcW w:w="1780" w:type="dxa"/>
            <w:noWrap/>
            <w:hideMark/>
          </w:tcPr>
          <w:p w14:paraId="5A3CD4DD" w14:textId="77777777" w:rsidR="00354B28" w:rsidRPr="00354B28" w:rsidRDefault="00354B28" w:rsidP="00354B28">
            <w:pPr>
              <w:rPr>
                <w:rFonts w:ascii="Calibri" w:eastAsia="Times New Roman" w:hAnsi="Calibri" w:cs="Calibri"/>
                <w:color w:val="000000"/>
                <w:lang w:eastAsia="en-GB"/>
              </w:rPr>
            </w:pPr>
            <w:r w:rsidRPr="00354B28">
              <w:rPr>
                <w:rFonts w:ascii="Calibri" w:eastAsia="Times New Roman" w:hAnsi="Calibri" w:cs="Calibri"/>
                <w:color w:val="000000"/>
                <w:lang w:eastAsia="en-GB"/>
              </w:rPr>
              <w:t> </w:t>
            </w:r>
          </w:p>
        </w:tc>
        <w:tc>
          <w:tcPr>
            <w:tcW w:w="2080" w:type="dxa"/>
            <w:hideMark/>
          </w:tcPr>
          <w:p w14:paraId="6ABEFC32"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354B28">
              <w:rPr>
                <w:rFonts w:ascii="Calibri" w:eastAsia="Times New Roman" w:hAnsi="Calibri" w:cs="Calibri"/>
                <w:b/>
                <w:bCs/>
                <w:color w:val="000000"/>
                <w:lang w:eastAsia="en-GB"/>
              </w:rPr>
              <w:t>No. of Properties</w:t>
            </w:r>
          </w:p>
        </w:tc>
        <w:tc>
          <w:tcPr>
            <w:tcW w:w="2080" w:type="dxa"/>
            <w:hideMark/>
          </w:tcPr>
          <w:p w14:paraId="3BDE092B"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354B28">
              <w:rPr>
                <w:rFonts w:ascii="Calibri" w:eastAsia="Times New Roman" w:hAnsi="Calibri" w:cs="Calibri"/>
                <w:b/>
                <w:bCs/>
                <w:color w:val="000000"/>
                <w:lang w:eastAsia="en-GB"/>
              </w:rPr>
              <w:t>No. of Vacant Properties</w:t>
            </w:r>
          </w:p>
        </w:tc>
        <w:tc>
          <w:tcPr>
            <w:tcW w:w="2080" w:type="dxa"/>
            <w:hideMark/>
          </w:tcPr>
          <w:p w14:paraId="50128BE4"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354B28">
              <w:rPr>
                <w:rFonts w:ascii="Calibri" w:eastAsia="Times New Roman" w:hAnsi="Calibri" w:cs="Calibri"/>
                <w:b/>
                <w:bCs/>
                <w:color w:val="000000"/>
                <w:lang w:eastAsia="en-GB"/>
              </w:rPr>
              <w:t>% of Vacant Properties</w:t>
            </w:r>
          </w:p>
        </w:tc>
      </w:tr>
      <w:tr w:rsidR="00DE0A7D" w:rsidRPr="00354B28" w14:paraId="545F3A59" w14:textId="77777777" w:rsidTr="002E016E">
        <w:trPr>
          <w:trHeight w:val="288"/>
        </w:trPr>
        <w:tc>
          <w:tcPr>
            <w:cnfStyle w:val="001000000000" w:firstRow="0" w:lastRow="0" w:firstColumn="1" w:lastColumn="0" w:oddVBand="0" w:evenVBand="0" w:oddHBand="0" w:evenHBand="0" w:firstRowFirstColumn="0" w:firstRowLastColumn="0" w:lastRowFirstColumn="0" w:lastRowLastColumn="0"/>
            <w:tcW w:w="1780" w:type="dxa"/>
            <w:noWrap/>
            <w:hideMark/>
          </w:tcPr>
          <w:p w14:paraId="3851DC31" w14:textId="77777777" w:rsidR="00DE0A7D" w:rsidRPr="00354B28" w:rsidRDefault="00DE0A7D" w:rsidP="00DE0A7D">
            <w:pPr>
              <w:rPr>
                <w:rFonts w:ascii="Calibri" w:eastAsia="Times New Roman" w:hAnsi="Calibri" w:cs="Calibri"/>
                <w:color w:val="000000"/>
                <w:lang w:eastAsia="en-GB"/>
              </w:rPr>
            </w:pPr>
            <w:r w:rsidRPr="00354B28">
              <w:rPr>
                <w:rFonts w:ascii="Calibri" w:eastAsia="Times New Roman" w:hAnsi="Calibri" w:cs="Calibri"/>
                <w:color w:val="000000"/>
                <w:lang w:eastAsia="en-GB"/>
              </w:rPr>
              <w:t>Armagh</w:t>
            </w:r>
          </w:p>
        </w:tc>
        <w:tc>
          <w:tcPr>
            <w:tcW w:w="2080" w:type="dxa"/>
            <w:noWrap/>
            <w:vAlign w:val="bottom"/>
            <w:hideMark/>
          </w:tcPr>
          <w:p w14:paraId="37792189" w14:textId="5C24F6C6"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734</w:t>
            </w:r>
          </w:p>
        </w:tc>
        <w:tc>
          <w:tcPr>
            <w:tcW w:w="2080" w:type="dxa"/>
            <w:noWrap/>
            <w:vAlign w:val="bottom"/>
            <w:hideMark/>
          </w:tcPr>
          <w:p w14:paraId="3D086787" w14:textId="7A604BB2"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128</w:t>
            </w:r>
          </w:p>
        </w:tc>
        <w:tc>
          <w:tcPr>
            <w:tcW w:w="2080" w:type="dxa"/>
            <w:noWrap/>
            <w:vAlign w:val="bottom"/>
            <w:hideMark/>
          </w:tcPr>
          <w:p w14:paraId="067868F5" w14:textId="7DCEB8C1"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Pr>
                <w:rFonts w:ascii="Calibri" w:hAnsi="Calibri" w:cs="Calibri"/>
                <w:i/>
                <w:iCs/>
              </w:rPr>
              <w:t>17.4%</w:t>
            </w:r>
          </w:p>
        </w:tc>
      </w:tr>
      <w:tr w:rsidR="00DE0A7D" w:rsidRPr="00354B28" w14:paraId="1F1B760E" w14:textId="77777777" w:rsidTr="002E016E">
        <w:trPr>
          <w:trHeight w:val="288"/>
        </w:trPr>
        <w:tc>
          <w:tcPr>
            <w:cnfStyle w:val="001000000000" w:firstRow="0" w:lastRow="0" w:firstColumn="1" w:lastColumn="0" w:oddVBand="0" w:evenVBand="0" w:oddHBand="0" w:evenHBand="0" w:firstRowFirstColumn="0" w:firstRowLastColumn="0" w:lastRowFirstColumn="0" w:lastRowLastColumn="0"/>
            <w:tcW w:w="1780" w:type="dxa"/>
            <w:noWrap/>
            <w:hideMark/>
          </w:tcPr>
          <w:p w14:paraId="644E3CC6" w14:textId="77777777" w:rsidR="00DE0A7D" w:rsidRPr="00354B28" w:rsidRDefault="00DE0A7D" w:rsidP="00DE0A7D">
            <w:pPr>
              <w:rPr>
                <w:rFonts w:ascii="Calibri" w:eastAsia="Times New Roman" w:hAnsi="Calibri" w:cs="Calibri"/>
                <w:color w:val="000000"/>
                <w:lang w:eastAsia="en-GB"/>
              </w:rPr>
            </w:pPr>
            <w:r w:rsidRPr="00354B28">
              <w:rPr>
                <w:rFonts w:ascii="Calibri" w:eastAsia="Times New Roman" w:hAnsi="Calibri" w:cs="Calibri"/>
                <w:color w:val="000000"/>
                <w:lang w:eastAsia="en-GB"/>
              </w:rPr>
              <w:t>Banbridge</w:t>
            </w:r>
          </w:p>
        </w:tc>
        <w:tc>
          <w:tcPr>
            <w:tcW w:w="2080" w:type="dxa"/>
            <w:noWrap/>
            <w:vAlign w:val="bottom"/>
            <w:hideMark/>
          </w:tcPr>
          <w:p w14:paraId="287E6CF8" w14:textId="5F4B8B8E"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430</w:t>
            </w:r>
          </w:p>
        </w:tc>
        <w:tc>
          <w:tcPr>
            <w:tcW w:w="2080" w:type="dxa"/>
            <w:noWrap/>
            <w:vAlign w:val="bottom"/>
            <w:hideMark/>
          </w:tcPr>
          <w:p w14:paraId="1527354C" w14:textId="54864533"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63</w:t>
            </w:r>
          </w:p>
        </w:tc>
        <w:tc>
          <w:tcPr>
            <w:tcW w:w="2080" w:type="dxa"/>
            <w:noWrap/>
            <w:vAlign w:val="bottom"/>
            <w:hideMark/>
          </w:tcPr>
          <w:p w14:paraId="1C3457DD" w14:textId="773048B6"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Pr>
                <w:rFonts w:ascii="Calibri" w:hAnsi="Calibri" w:cs="Calibri"/>
                <w:i/>
                <w:iCs/>
              </w:rPr>
              <w:t>14.7%</w:t>
            </w:r>
          </w:p>
        </w:tc>
      </w:tr>
      <w:tr w:rsidR="00DE0A7D" w:rsidRPr="00354B28" w14:paraId="3CF7ABD2" w14:textId="77777777" w:rsidTr="002E016E">
        <w:trPr>
          <w:trHeight w:val="288"/>
        </w:trPr>
        <w:tc>
          <w:tcPr>
            <w:cnfStyle w:val="001000000000" w:firstRow="0" w:lastRow="0" w:firstColumn="1" w:lastColumn="0" w:oddVBand="0" w:evenVBand="0" w:oddHBand="0" w:evenHBand="0" w:firstRowFirstColumn="0" w:firstRowLastColumn="0" w:lastRowFirstColumn="0" w:lastRowLastColumn="0"/>
            <w:tcW w:w="1780" w:type="dxa"/>
            <w:noWrap/>
            <w:hideMark/>
          </w:tcPr>
          <w:p w14:paraId="7B8CB679" w14:textId="77777777" w:rsidR="00DE0A7D" w:rsidRPr="00354B28" w:rsidRDefault="00DE0A7D" w:rsidP="00DE0A7D">
            <w:pPr>
              <w:rPr>
                <w:rFonts w:ascii="Calibri" w:eastAsia="Times New Roman" w:hAnsi="Calibri" w:cs="Calibri"/>
                <w:color w:val="000000"/>
                <w:lang w:eastAsia="en-GB"/>
              </w:rPr>
            </w:pPr>
            <w:r w:rsidRPr="00354B28">
              <w:rPr>
                <w:rFonts w:ascii="Calibri" w:eastAsia="Times New Roman" w:hAnsi="Calibri" w:cs="Calibri"/>
                <w:color w:val="000000"/>
                <w:lang w:eastAsia="en-GB"/>
              </w:rPr>
              <w:t>Craigavon</w:t>
            </w:r>
          </w:p>
        </w:tc>
        <w:tc>
          <w:tcPr>
            <w:tcW w:w="2080" w:type="dxa"/>
            <w:noWrap/>
            <w:vAlign w:val="bottom"/>
            <w:hideMark/>
          </w:tcPr>
          <w:p w14:paraId="6041336B" w14:textId="64E454E5"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101</w:t>
            </w:r>
          </w:p>
        </w:tc>
        <w:tc>
          <w:tcPr>
            <w:tcW w:w="2080" w:type="dxa"/>
            <w:noWrap/>
            <w:vAlign w:val="bottom"/>
            <w:hideMark/>
          </w:tcPr>
          <w:p w14:paraId="405E8CA1" w14:textId="7665B7D1"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w:t>
            </w:r>
          </w:p>
        </w:tc>
        <w:tc>
          <w:tcPr>
            <w:tcW w:w="2080" w:type="dxa"/>
            <w:noWrap/>
            <w:vAlign w:val="bottom"/>
            <w:hideMark/>
          </w:tcPr>
          <w:p w14:paraId="0645C087" w14:textId="257A5ADF"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Pr>
                <w:rFonts w:ascii="Calibri" w:hAnsi="Calibri" w:cs="Calibri"/>
                <w:i/>
                <w:iCs/>
              </w:rPr>
              <w:t>6.9%</w:t>
            </w:r>
          </w:p>
        </w:tc>
      </w:tr>
      <w:tr w:rsidR="00DE0A7D" w:rsidRPr="00354B28" w14:paraId="67D6C980" w14:textId="77777777" w:rsidTr="002E016E">
        <w:trPr>
          <w:trHeight w:val="288"/>
        </w:trPr>
        <w:tc>
          <w:tcPr>
            <w:cnfStyle w:val="001000000000" w:firstRow="0" w:lastRow="0" w:firstColumn="1" w:lastColumn="0" w:oddVBand="0" w:evenVBand="0" w:oddHBand="0" w:evenHBand="0" w:firstRowFirstColumn="0" w:firstRowLastColumn="0" w:lastRowFirstColumn="0" w:lastRowLastColumn="0"/>
            <w:tcW w:w="1780" w:type="dxa"/>
            <w:noWrap/>
            <w:hideMark/>
          </w:tcPr>
          <w:p w14:paraId="04877AA6" w14:textId="77777777" w:rsidR="00DE0A7D" w:rsidRPr="00354B28" w:rsidRDefault="00DE0A7D" w:rsidP="00DE0A7D">
            <w:pPr>
              <w:rPr>
                <w:rFonts w:ascii="Calibri" w:eastAsia="Times New Roman" w:hAnsi="Calibri" w:cs="Calibri"/>
                <w:color w:val="000000"/>
                <w:lang w:eastAsia="en-GB"/>
              </w:rPr>
            </w:pPr>
            <w:r w:rsidRPr="00354B28">
              <w:rPr>
                <w:rFonts w:ascii="Calibri" w:eastAsia="Times New Roman" w:hAnsi="Calibri" w:cs="Calibri"/>
                <w:color w:val="000000"/>
                <w:lang w:eastAsia="en-GB"/>
              </w:rPr>
              <w:t>Dromore</w:t>
            </w:r>
          </w:p>
        </w:tc>
        <w:tc>
          <w:tcPr>
            <w:tcW w:w="2080" w:type="dxa"/>
            <w:noWrap/>
            <w:vAlign w:val="bottom"/>
            <w:hideMark/>
          </w:tcPr>
          <w:p w14:paraId="5C78E03C" w14:textId="3F188C11"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127</w:t>
            </w:r>
          </w:p>
        </w:tc>
        <w:tc>
          <w:tcPr>
            <w:tcW w:w="2080" w:type="dxa"/>
            <w:noWrap/>
            <w:vAlign w:val="bottom"/>
            <w:hideMark/>
          </w:tcPr>
          <w:p w14:paraId="243F44E6" w14:textId="5800B2E4"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32</w:t>
            </w:r>
          </w:p>
        </w:tc>
        <w:tc>
          <w:tcPr>
            <w:tcW w:w="2080" w:type="dxa"/>
            <w:noWrap/>
            <w:vAlign w:val="bottom"/>
            <w:hideMark/>
          </w:tcPr>
          <w:p w14:paraId="2A4302FF" w14:textId="5EDFD244"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Pr>
                <w:rFonts w:ascii="Calibri" w:hAnsi="Calibri" w:cs="Calibri"/>
                <w:i/>
                <w:iCs/>
              </w:rPr>
              <w:t>25.2%</w:t>
            </w:r>
          </w:p>
        </w:tc>
      </w:tr>
      <w:tr w:rsidR="00DE0A7D" w:rsidRPr="00354B28" w14:paraId="27A19A2B" w14:textId="77777777" w:rsidTr="002E016E">
        <w:trPr>
          <w:trHeight w:val="288"/>
        </w:trPr>
        <w:tc>
          <w:tcPr>
            <w:cnfStyle w:val="001000000000" w:firstRow="0" w:lastRow="0" w:firstColumn="1" w:lastColumn="0" w:oddVBand="0" w:evenVBand="0" w:oddHBand="0" w:evenHBand="0" w:firstRowFirstColumn="0" w:firstRowLastColumn="0" w:lastRowFirstColumn="0" w:lastRowLastColumn="0"/>
            <w:tcW w:w="1780" w:type="dxa"/>
            <w:noWrap/>
            <w:hideMark/>
          </w:tcPr>
          <w:p w14:paraId="35FD1DAD" w14:textId="77777777" w:rsidR="00DE0A7D" w:rsidRPr="00354B28" w:rsidRDefault="00DE0A7D" w:rsidP="00DE0A7D">
            <w:pPr>
              <w:rPr>
                <w:rFonts w:ascii="Calibri" w:eastAsia="Times New Roman" w:hAnsi="Calibri" w:cs="Calibri"/>
                <w:color w:val="000000"/>
                <w:lang w:eastAsia="en-GB"/>
              </w:rPr>
            </w:pPr>
            <w:r w:rsidRPr="00354B28">
              <w:rPr>
                <w:rFonts w:ascii="Calibri" w:eastAsia="Times New Roman" w:hAnsi="Calibri" w:cs="Calibri"/>
                <w:color w:val="000000"/>
                <w:lang w:eastAsia="en-GB"/>
              </w:rPr>
              <w:t>Lurgan</w:t>
            </w:r>
          </w:p>
        </w:tc>
        <w:tc>
          <w:tcPr>
            <w:tcW w:w="2080" w:type="dxa"/>
            <w:noWrap/>
            <w:vAlign w:val="bottom"/>
            <w:hideMark/>
          </w:tcPr>
          <w:p w14:paraId="4A683815" w14:textId="4BB8DC84"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500</w:t>
            </w:r>
          </w:p>
        </w:tc>
        <w:tc>
          <w:tcPr>
            <w:tcW w:w="2080" w:type="dxa"/>
            <w:noWrap/>
            <w:vAlign w:val="bottom"/>
            <w:hideMark/>
          </w:tcPr>
          <w:p w14:paraId="1B3C6D59" w14:textId="60E111E4"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98</w:t>
            </w:r>
          </w:p>
        </w:tc>
        <w:tc>
          <w:tcPr>
            <w:tcW w:w="2080" w:type="dxa"/>
            <w:noWrap/>
            <w:vAlign w:val="bottom"/>
            <w:hideMark/>
          </w:tcPr>
          <w:p w14:paraId="783BC280" w14:textId="60668FA9"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Pr>
                <w:rFonts w:ascii="Calibri" w:hAnsi="Calibri" w:cs="Calibri"/>
                <w:i/>
                <w:iCs/>
              </w:rPr>
              <w:t>19.6%</w:t>
            </w:r>
          </w:p>
        </w:tc>
      </w:tr>
      <w:tr w:rsidR="00DE0A7D" w:rsidRPr="00354B28" w14:paraId="4D63772A" w14:textId="77777777" w:rsidTr="002E016E">
        <w:trPr>
          <w:trHeight w:val="288"/>
        </w:trPr>
        <w:tc>
          <w:tcPr>
            <w:cnfStyle w:val="001000000000" w:firstRow="0" w:lastRow="0" w:firstColumn="1" w:lastColumn="0" w:oddVBand="0" w:evenVBand="0" w:oddHBand="0" w:evenHBand="0" w:firstRowFirstColumn="0" w:firstRowLastColumn="0" w:lastRowFirstColumn="0" w:lastRowLastColumn="0"/>
            <w:tcW w:w="1780" w:type="dxa"/>
            <w:noWrap/>
            <w:hideMark/>
          </w:tcPr>
          <w:p w14:paraId="7DA42C39" w14:textId="77777777" w:rsidR="00DE0A7D" w:rsidRPr="00354B28" w:rsidRDefault="00DE0A7D" w:rsidP="00DE0A7D">
            <w:pPr>
              <w:rPr>
                <w:rFonts w:ascii="Calibri" w:eastAsia="Times New Roman" w:hAnsi="Calibri" w:cs="Calibri"/>
                <w:color w:val="000000"/>
                <w:lang w:eastAsia="en-GB"/>
              </w:rPr>
            </w:pPr>
            <w:r w:rsidRPr="00354B28">
              <w:rPr>
                <w:rFonts w:ascii="Calibri" w:eastAsia="Times New Roman" w:hAnsi="Calibri" w:cs="Calibri"/>
                <w:color w:val="000000"/>
                <w:lang w:eastAsia="en-GB"/>
              </w:rPr>
              <w:t>Portadown</w:t>
            </w:r>
          </w:p>
        </w:tc>
        <w:tc>
          <w:tcPr>
            <w:tcW w:w="2080" w:type="dxa"/>
            <w:noWrap/>
            <w:vAlign w:val="bottom"/>
            <w:hideMark/>
          </w:tcPr>
          <w:p w14:paraId="1E418749" w14:textId="3E2573AA"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688</w:t>
            </w:r>
          </w:p>
        </w:tc>
        <w:tc>
          <w:tcPr>
            <w:tcW w:w="2080" w:type="dxa"/>
            <w:noWrap/>
            <w:vAlign w:val="bottom"/>
            <w:hideMark/>
          </w:tcPr>
          <w:p w14:paraId="52EFC9AB" w14:textId="6612185D"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144</w:t>
            </w:r>
          </w:p>
        </w:tc>
        <w:tc>
          <w:tcPr>
            <w:tcW w:w="2080" w:type="dxa"/>
            <w:noWrap/>
            <w:vAlign w:val="bottom"/>
            <w:hideMark/>
          </w:tcPr>
          <w:p w14:paraId="54189045" w14:textId="5ACA0D6F"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Pr>
                <w:rFonts w:ascii="Calibri" w:hAnsi="Calibri" w:cs="Calibri"/>
                <w:i/>
                <w:iCs/>
              </w:rPr>
              <w:t>20.9%</w:t>
            </w:r>
          </w:p>
        </w:tc>
      </w:tr>
      <w:tr w:rsidR="00DE0A7D" w:rsidRPr="00354B28" w14:paraId="452D1BD7" w14:textId="77777777" w:rsidTr="002E016E">
        <w:trPr>
          <w:trHeight w:val="288"/>
        </w:trPr>
        <w:tc>
          <w:tcPr>
            <w:cnfStyle w:val="001000000000" w:firstRow="0" w:lastRow="0" w:firstColumn="1" w:lastColumn="0" w:oddVBand="0" w:evenVBand="0" w:oddHBand="0" w:evenHBand="0" w:firstRowFirstColumn="0" w:firstRowLastColumn="0" w:lastRowFirstColumn="0" w:lastRowLastColumn="0"/>
            <w:tcW w:w="1780" w:type="dxa"/>
            <w:noWrap/>
            <w:hideMark/>
          </w:tcPr>
          <w:p w14:paraId="7BDF66C3" w14:textId="77777777" w:rsidR="00DE0A7D" w:rsidRPr="00354B28" w:rsidRDefault="00DE0A7D" w:rsidP="00DE0A7D">
            <w:pPr>
              <w:rPr>
                <w:rFonts w:ascii="Calibri" w:eastAsia="Times New Roman" w:hAnsi="Calibri" w:cs="Calibri"/>
                <w:color w:val="000000"/>
                <w:lang w:eastAsia="en-GB"/>
              </w:rPr>
            </w:pPr>
            <w:r w:rsidRPr="00354B28">
              <w:rPr>
                <w:rFonts w:ascii="Calibri" w:eastAsia="Times New Roman" w:hAnsi="Calibri" w:cs="Calibri"/>
                <w:color w:val="000000"/>
                <w:lang w:eastAsia="en-GB"/>
              </w:rPr>
              <w:t xml:space="preserve">Northern Ireland </w:t>
            </w:r>
          </w:p>
        </w:tc>
        <w:tc>
          <w:tcPr>
            <w:tcW w:w="2080" w:type="dxa"/>
            <w:noWrap/>
            <w:vAlign w:val="bottom"/>
            <w:hideMark/>
          </w:tcPr>
          <w:p w14:paraId="4476453E" w14:textId="005990CD"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Pr>
                <w:rFonts w:ascii="Calibri" w:hAnsi="Calibri" w:cs="Calibri"/>
                <w:b/>
                <w:bCs/>
              </w:rPr>
              <w:t>21,482</w:t>
            </w:r>
          </w:p>
        </w:tc>
        <w:tc>
          <w:tcPr>
            <w:tcW w:w="2080" w:type="dxa"/>
            <w:noWrap/>
            <w:vAlign w:val="bottom"/>
            <w:hideMark/>
          </w:tcPr>
          <w:p w14:paraId="084B45DA" w14:textId="3E986C30"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Pr>
                <w:rFonts w:ascii="Calibri" w:hAnsi="Calibri" w:cs="Calibri"/>
                <w:b/>
                <w:bCs/>
              </w:rPr>
              <w:t>4,901</w:t>
            </w:r>
          </w:p>
        </w:tc>
        <w:tc>
          <w:tcPr>
            <w:tcW w:w="2080" w:type="dxa"/>
            <w:noWrap/>
            <w:vAlign w:val="bottom"/>
            <w:hideMark/>
          </w:tcPr>
          <w:p w14:paraId="4AC36601" w14:textId="2C3EC665" w:rsidR="00DE0A7D" w:rsidRPr="00354B28" w:rsidRDefault="00DE0A7D" w:rsidP="00DE0A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lang w:eastAsia="en-GB"/>
              </w:rPr>
            </w:pPr>
            <w:r>
              <w:rPr>
                <w:rFonts w:ascii="Calibri" w:hAnsi="Calibri" w:cs="Calibri"/>
                <w:b/>
                <w:bCs/>
                <w:i/>
                <w:iCs/>
              </w:rPr>
              <w:t>22.8%</w:t>
            </w:r>
          </w:p>
        </w:tc>
      </w:tr>
    </w:tbl>
    <w:p w14:paraId="7F33FC4C" w14:textId="2BE12E40" w:rsidR="00354B28" w:rsidRDefault="00354B28" w:rsidP="00354B28">
      <w:pPr>
        <w:rPr>
          <w:i/>
          <w:sz w:val="20"/>
          <w:szCs w:val="20"/>
        </w:rPr>
      </w:pPr>
      <w:r>
        <w:rPr>
          <w:i/>
          <w:sz w:val="20"/>
          <w:szCs w:val="20"/>
        </w:rPr>
        <w:t xml:space="preserve">Table 1: City/town centre non-domestic property vacancy rates as </w:t>
      </w:r>
      <w:proofErr w:type="gramStart"/>
      <w:r>
        <w:rPr>
          <w:i/>
          <w:sz w:val="20"/>
          <w:szCs w:val="20"/>
        </w:rPr>
        <w:t>at</w:t>
      </w:r>
      <w:proofErr w:type="gramEnd"/>
      <w:r>
        <w:rPr>
          <w:i/>
          <w:sz w:val="20"/>
          <w:szCs w:val="20"/>
        </w:rPr>
        <w:t xml:space="preserve"> </w:t>
      </w:r>
      <w:r w:rsidR="00DE0A7D">
        <w:rPr>
          <w:i/>
          <w:sz w:val="20"/>
          <w:szCs w:val="20"/>
        </w:rPr>
        <w:t>31</w:t>
      </w:r>
      <w:r w:rsidR="00DE0A7D" w:rsidRPr="00DE0A7D">
        <w:rPr>
          <w:i/>
          <w:sz w:val="20"/>
          <w:szCs w:val="20"/>
          <w:vertAlign w:val="superscript"/>
        </w:rPr>
        <w:t>st</w:t>
      </w:r>
      <w:r w:rsidR="00DE0A7D">
        <w:rPr>
          <w:i/>
          <w:sz w:val="20"/>
          <w:szCs w:val="20"/>
        </w:rPr>
        <w:t xml:space="preserve"> October</w:t>
      </w:r>
      <w:r>
        <w:rPr>
          <w:i/>
          <w:sz w:val="20"/>
          <w:szCs w:val="20"/>
        </w:rPr>
        <w:t xml:space="preserve"> 2024</w:t>
      </w:r>
      <w:r w:rsidRPr="002A2185">
        <w:rPr>
          <w:i/>
          <w:sz w:val="20"/>
          <w:szCs w:val="20"/>
        </w:rPr>
        <w:t>. Source:</w:t>
      </w:r>
      <w:r>
        <w:rPr>
          <w:i/>
          <w:sz w:val="20"/>
          <w:szCs w:val="20"/>
        </w:rPr>
        <w:t xml:space="preserve"> Land and Property Services via Town Centre Database, Department for Communities</w:t>
      </w:r>
      <w:r w:rsidRPr="002A2185">
        <w:rPr>
          <w:i/>
          <w:sz w:val="20"/>
          <w:szCs w:val="20"/>
        </w:rPr>
        <w:t>.</w:t>
      </w:r>
      <w:r>
        <w:rPr>
          <w:i/>
          <w:sz w:val="20"/>
          <w:szCs w:val="20"/>
        </w:rPr>
        <w:t xml:space="preserve"> </w:t>
      </w:r>
    </w:p>
    <w:p w14:paraId="0253E122" w14:textId="0AAB6585" w:rsidR="008A3B82" w:rsidRDefault="00980495" w:rsidP="00980495">
      <w:pPr>
        <w:rPr>
          <w:i/>
          <w:sz w:val="20"/>
          <w:szCs w:val="20"/>
        </w:rPr>
      </w:pPr>
      <w:r w:rsidRPr="00980495">
        <w:rPr>
          <w:i/>
          <w:sz w:val="20"/>
          <w:szCs w:val="20"/>
        </w:rPr>
        <w:t xml:space="preserve"> </w:t>
      </w:r>
    </w:p>
    <w:p w14:paraId="2E1DF469" w14:textId="646377FB" w:rsidR="00980495" w:rsidRDefault="00DE0A7D" w:rsidP="00980495">
      <w:pPr>
        <w:rPr>
          <w:i/>
          <w:sz w:val="20"/>
          <w:szCs w:val="20"/>
        </w:rPr>
      </w:pPr>
      <w:r>
        <w:rPr>
          <w:noProof/>
        </w:rPr>
        <w:drawing>
          <wp:inline distT="0" distB="0" distL="0" distR="0" wp14:anchorId="4E9C70CC" wp14:editId="16481D89">
            <wp:extent cx="5731510" cy="2377440"/>
            <wp:effectExtent l="0" t="0" r="2540" b="3810"/>
            <wp:docPr id="1955973460" name="Chart 1" descr="City / town centre vacancy rates for towns / cities in Armagh City, Banbridge and Craigavon as at 31 Oct 2024">
              <a:extLst xmlns:a="http://schemas.openxmlformats.org/drawingml/2006/main">
                <a:ext uri="{FF2B5EF4-FFF2-40B4-BE49-F238E27FC236}">
                  <a16:creationId xmlns:a16="http://schemas.microsoft.com/office/drawing/2014/main" id="{04C727AF-356C-4049-FA4C-2C66C24BEF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980495">
        <w:rPr>
          <w:i/>
          <w:sz w:val="20"/>
          <w:szCs w:val="20"/>
        </w:rPr>
        <w:t xml:space="preserve">Figure 1: City/town centre non-domestic property vacancy rates as </w:t>
      </w:r>
      <w:proofErr w:type="gramStart"/>
      <w:r w:rsidR="00980495">
        <w:rPr>
          <w:i/>
          <w:sz w:val="20"/>
          <w:szCs w:val="20"/>
        </w:rPr>
        <w:t>at</w:t>
      </w:r>
      <w:proofErr w:type="gramEnd"/>
      <w:r w:rsidR="00980495">
        <w:rPr>
          <w:i/>
          <w:sz w:val="20"/>
          <w:szCs w:val="20"/>
        </w:rPr>
        <w:t xml:space="preserve"> </w:t>
      </w:r>
      <w:r>
        <w:rPr>
          <w:i/>
          <w:sz w:val="20"/>
          <w:szCs w:val="20"/>
        </w:rPr>
        <w:t>31</w:t>
      </w:r>
      <w:r w:rsidRPr="00DE0A7D">
        <w:rPr>
          <w:i/>
          <w:sz w:val="20"/>
          <w:szCs w:val="20"/>
          <w:vertAlign w:val="superscript"/>
        </w:rPr>
        <w:t>st</w:t>
      </w:r>
      <w:r>
        <w:rPr>
          <w:i/>
          <w:sz w:val="20"/>
          <w:szCs w:val="20"/>
        </w:rPr>
        <w:t xml:space="preserve"> October </w:t>
      </w:r>
      <w:r w:rsidR="008A3B82">
        <w:rPr>
          <w:i/>
          <w:sz w:val="20"/>
          <w:szCs w:val="20"/>
        </w:rPr>
        <w:t>2024</w:t>
      </w:r>
      <w:r w:rsidR="00980495" w:rsidRPr="002A2185">
        <w:rPr>
          <w:i/>
          <w:sz w:val="20"/>
          <w:szCs w:val="20"/>
        </w:rPr>
        <w:t>. Source:</w:t>
      </w:r>
      <w:r w:rsidR="00980495">
        <w:rPr>
          <w:i/>
          <w:sz w:val="20"/>
          <w:szCs w:val="20"/>
        </w:rPr>
        <w:t xml:space="preserve"> Land and Property Services via Town Centre Database, Department for Communities</w:t>
      </w:r>
      <w:r w:rsidR="00980495" w:rsidRPr="002A2185">
        <w:rPr>
          <w:i/>
          <w:sz w:val="20"/>
          <w:szCs w:val="20"/>
        </w:rPr>
        <w:t>.</w:t>
      </w:r>
      <w:r w:rsidR="00980495">
        <w:rPr>
          <w:i/>
          <w:sz w:val="20"/>
          <w:szCs w:val="20"/>
        </w:rPr>
        <w:t xml:space="preserve"> </w:t>
      </w:r>
    </w:p>
    <w:p w14:paraId="05FD2AF7" w14:textId="77777777" w:rsidR="00DE0A7D" w:rsidRDefault="00DE0A7D" w:rsidP="00956354"/>
    <w:p w14:paraId="1F9F0AF4" w14:textId="4D59DA3E" w:rsidR="00095AEC" w:rsidRDefault="001C3C76" w:rsidP="00956354">
      <w:r>
        <w:t xml:space="preserve">Table 2 presents the vacancy rates in </w:t>
      </w:r>
      <w:r w:rsidR="00DE0A7D">
        <w:t>October</w:t>
      </w:r>
      <w:r>
        <w:t xml:space="preserve"> each year between 2016 and 202</w:t>
      </w:r>
      <w:r w:rsidR="005D4F3B">
        <w:t>4</w:t>
      </w:r>
      <w:r>
        <w:t xml:space="preserve">.  </w:t>
      </w:r>
      <w:r w:rsidR="00C51627">
        <w:t xml:space="preserve">Dromore has consistently had the highest vacancy rates </w:t>
      </w:r>
      <w:r w:rsidR="003975ED">
        <w:t xml:space="preserve">although it has fallen </w:t>
      </w:r>
      <w:r w:rsidR="004E798D">
        <w:t xml:space="preserve">by </w:t>
      </w:r>
      <w:r w:rsidR="00DE0A7D">
        <w:t>more than 4</w:t>
      </w:r>
      <w:r w:rsidR="003975ED">
        <w:t xml:space="preserve"> percentage points between</w:t>
      </w:r>
      <w:r w:rsidR="00DE0A7D">
        <w:t xml:space="preserve"> October</w:t>
      </w:r>
      <w:r w:rsidR="004E798D">
        <w:t xml:space="preserve"> </w:t>
      </w:r>
      <w:r w:rsidR="003975ED">
        <w:t xml:space="preserve">2016 and </w:t>
      </w:r>
      <w:r w:rsidR="00DE0A7D">
        <w:t>October</w:t>
      </w:r>
      <w:r w:rsidR="00136313">
        <w:t xml:space="preserve"> 2</w:t>
      </w:r>
      <w:r w:rsidR="003975ED">
        <w:t>02</w:t>
      </w:r>
      <w:r w:rsidR="00136313">
        <w:t>4</w:t>
      </w:r>
      <w:r w:rsidR="003975ED">
        <w:t xml:space="preserve">.  </w:t>
      </w:r>
      <w:r w:rsidR="00C51627">
        <w:t>Craigavon has maintained the lowest</w:t>
      </w:r>
      <w:r w:rsidR="003975ED">
        <w:t xml:space="preserve"> vacancy rate in the borough</w:t>
      </w:r>
      <w:r w:rsidR="00DE0A7D">
        <w:t xml:space="preserve"> throughout the period</w:t>
      </w:r>
      <w:r w:rsidR="003E1B37">
        <w:t xml:space="preserve"> while</w:t>
      </w:r>
      <w:r>
        <w:t xml:space="preserve"> </w:t>
      </w:r>
      <w:r w:rsidR="00A24783">
        <w:t>Banbridge</w:t>
      </w:r>
      <w:r w:rsidR="003975ED">
        <w:t xml:space="preserve"> </w:t>
      </w:r>
      <w:r w:rsidR="009C0905">
        <w:t>ha</w:t>
      </w:r>
      <w:r w:rsidR="00136313">
        <w:t>s</w:t>
      </w:r>
      <w:r w:rsidR="003975ED">
        <w:t xml:space="preserve"> experienced the greatest fall in the vacancy rates </w:t>
      </w:r>
      <w:r w:rsidR="00136313">
        <w:t>having</w:t>
      </w:r>
      <w:r w:rsidR="003975ED">
        <w:t xml:space="preserve"> fallen by </w:t>
      </w:r>
      <w:r w:rsidR="00A24783">
        <w:t>8.5</w:t>
      </w:r>
      <w:r w:rsidR="003975ED">
        <w:t xml:space="preserve"> </w:t>
      </w:r>
      <w:r w:rsidR="009C0905">
        <w:t xml:space="preserve">percentage points between </w:t>
      </w:r>
      <w:r w:rsidR="00A24783">
        <w:t>October</w:t>
      </w:r>
      <w:r w:rsidR="004E798D">
        <w:t xml:space="preserve"> </w:t>
      </w:r>
      <w:r w:rsidR="009C0905">
        <w:t xml:space="preserve">2016 and </w:t>
      </w:r>
      <w:r w:rsidR="00A24783">
        <w:t xml:space="preserve">October </w:t>
      </w:r>
      <w:r w:rsidR="009C0905">
        <w:t>202</w:t>
      </w:r>
      <w:r w:rsidR="00136313">
        <w:t>4</w:t>
      </w:r>
      <w:r w:rsidR="009C0905">
        <w:t xml:space="preserve">.  </w:t>
      </w:r>
    </w:p>
    <w:p w14:paraId="10BFCFE5" w14:textId="11B56C1D" w:rsidR="005C2415" w:rsidRDefault="005C2415" w:rsidP="005C2415">
      <w:pPr>
        <w:rPr>
          <w:i/>
          <w:sz w:val="20"/>
          <w:szCs w:val="20"/>
        </w:rPr>
      </w:pPr>
    </w:p>
    <w:tbl>
      <w:tblPr>
        <w:tblStyle w:val="GridTable1Light"/>
        <w:tblW w:w="9493" w:type="dxa"/>
        <w:tblLayout w:type="fixed"/>
        <w:tblLook w:val="04A0" w:firstRow="1" w:lastRow="0" w:firstColumn="1" w:lastColumn="0" w:noHBand="0" w:noVBand="1"/>
      </w:tblPr>
      <w:tblGrid>
        <w:gridCol w:w="1555"/>
        <w:gridCol w:w="1113"/>
        <w:gridCol w:w="1114"/>
        <w:gridCol w:w="1114"/>
        <w:gridCol w:w="1113"/>
        <w:gridCol w:w="1114"/>
        <w:gridCol w:w="1236"/>
        <w:gridCol w:w="1134"/>
      </w:tblGrid>
      <w:tr w:rsidR="009443D3" w:rsidRPr="003E1B37" w14:paraId="74DB49FE" w14:textId="77777777" w:rsidTr="003E1B3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9910C19" w14:textId="77777777" w:rsidR="009443D3" w:rsidRPr="003E1B37" w:rsidRDefault="009443D3" w:rsidP="009443D3">
            <w:pPr>
              <w:rPr>
                <w:rFonts w:eastAsia="Times New Roman" w:cstheme="minorHAnsi"/>
                <w:sz w:val="20"/>
                <w:szCs w:val="20"/>
                <w:lang w:eastAsia="en-GB"/>
              </w:rPr>
            </w:pPr>
            <w:r w:rsidRPr="003E1B37">
              <w:rPr>
                <w:rFonts w:eastAsia="Times New Roman" w:cstheme="minorHAnsi"/>
                <w:sz w:val="20"/>
                <w:szCs w:val="20"/>
                <w:lang w:eastAsia="en-GB"/>
              </w:rPr>
              <w:lastRenderedPageBreak/>
              <w:t> </w:t>
            </w:r>
          </w:p>
        </w:tc>
        <w:tc>
          <w:tcPr>
            <w:tcW w:w="1113" w:type="dxa"/>
            <w:noWrap/>
            <w:hideMark/>
          </w:tcPr>
          <w:p w14:paraId="3C89F3B9" w14:textId="01BB34B1" w:rsidR="009443D3" w:rsidRPr="003E1B37" w:rsidRDefault="009443D3" w:rsidP="009443D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3E1B37">
              <w:rPr>
                <w:rFonts w:eastAsia="Times New Roman" w:cstheme="minorHAnsi"/>
                <w:sz w:val="20"/>
                <w:szCs w:val="20"/>
                <w:lang w:eastAsia="en-GB"/>
              </w:rPr>
              <w:t>Armagh</w:t>
            </w:r>
          </w:p>
        </w:tc>
        <w:tc>
          <w:tcPr>
            <w:tcW w:w="1114" w:type="dxa"/>
            <w:noWrap/>
            <w:hideMark/>
          </w:tcPr>
          <w:p w14:paraId="1357D57A" w14:textId="05B63F32" w:rsidR="009443D3" w:rsidRPr="003E1B37" w:rsidRDefault="009443D3" w:rsidP="009443D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3E1B37">
              <w:rPr>
                <w:rFonts w:eastAsia="Times New Roman" w:cstheme="minorHAnsi"/>
                <w:sz w:val="20"/>
                <w:szCs w:val="20"/>
                <w:lang w:eastAsia="en-GB"/>
              </w:rPr>
              <w:t>Banbridge</w:t>
            </w:r>
          </w:p>
        </w:tc>
        <w:tc>
          <w:tcPr>
            <w:tcW w:w="1114" w:type="dxa"/>
            <w:noWrap/>
            <w:hideMark/>
          </w:tcPr>
          <w:p w14:paraId="2BA577EC" w14:textId="27A9C404" w:rsidR="009443D3" w:rsidRPr="003E1B37" w:rsidRDefault="009443D3" w:rsidP="009443D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3E1B37">
              <w:rPr>
                <w:rFonts w:eastAsia="Times New Roman" w:cstheme="minorHAnsi"/>
                <w:sz w:val="20"/>
                <w:szCs w:val="20"/>
                <w:lang w:eastAsia="en-GB"/>
              </w:rPr>
              <w:t>Craigavon</w:t>
            </w:r>
          </w:p>
        </w:tc>
        <w:tc>
          <w:tcPr>
            <w:tcW w:w="1113" w:type="dxa"/>
            <w:noWrap/>
            <w:hideMark/>
          </w:tcPr>
          <w:p w14:paraId="05F660F8" w14:textId="58BFDBA0" w:rsidR="009443D3" w:rsidRPr="003E1B37" w:rsidRDefault="009443D3" w:rsidP="009443D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3E1B37">
              <w:rPr>
                <w:rFonts w:eastAsia="Times New Roman" w:cstheme="minorHAnsi"/>
                <w:sz w:val="20"/>
                <w:szCs w:val="20"/>
                <w:lang w:eastAsia="en-GB"/>
              </w:rPr>
              <w:t>Dromore</w:t>
            </w:r>
          </w:p>
        </w:tc>
        <w:tc>
          <w:tcPr>
            <w:tcW w:w="1114" w:type="dxa"/>
            <w:noWrap/>
            <w:hideMark/>
          </w:tcPr>
          <w:p w14:paraId="57F2C177" w14:textId="4E8E20DD" w:rsidR="009443D3" w:rsidRPr="003E1B37" w:rsidRDefault="009443D3" w:rsidP="009443D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3E1B37">
              <w:rPr>
                <w:rFonts w:eastAsia="Times New Roman" w:cstheme="minorHAnsi"/>
                <w:sz w:val="20"/>
                <w:szCs w:val="20"/>
                <w:lang w:eastAsia="en-GB"/>
              </w:rPr>
              <w:t>Lurgan</w:t>
            </w:r>
          </w:p>
        </w:tc>
        <w:tc>
          <w:tcPr>
            <w:tcW w:w="1236" w:type="dxa"/>
            <w:noWrap/>
            <w:hideMark/>
          </w:tcPr>
          <w:p w14:paraId="16F4D4FD" w14:textId="072145ED" w:rsidR="009443D3" w:rsidRPr="003E1B37" w:rsidRDefault="009443D3" w:rsidP="009443D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3E1B37">
              <w:rPr>
                <w:rFonts w:eastAsia="Times New Roman" w:cstheme="minorHAnsi"/>
                <w:sz w:val="20"/>
                <w:szCs w:val="20"/>
                <w:lang w:eastAsia="en-GB"/>
              </w:rPr>
              <w:t>Portadown</w:t>
            </w:r>
          </w:p>
        </w:tc>
        <w:tc>
          <w:tcPr>
            <w:tcW w:w="1134" w:type="dxa"/>
            <w:noWrap/>
            <w:hideMark/>
          </w:tcPr>
          <w:p w14:paraId="499BB0D2" w14:textId="7B03073E" w:rsidR="009443D3" w:rsidRPr="003E1B37" w:rsidRDefault="009443D3" w:rsidP="009443D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3E1B37">
              <w:rPr>
                <w:rFonts w:eastAsia="Times New Roman" w:cstheme="minorHAnsi"/>
                <w:sz w:val="20"/>
                <w:szCs w:val="20"/>
                <w:lang w:eastAsia="en-GB"/>
              </w:rPr>
              <w:t>Northern Ireland</w:t>
            </w:r>
          </w:p>
        </w:tc>
      </w:tr>
      <w:tr w:rsidR="00DE0A7D" w:rsidRPr="003E1B37" w14:paraId="1BF2FE35" w14:textId="77777777" w:rsidTr="003E1B37">
        <w:trPr>
          <w:trHeight w:val="288"/>
        </w:trPr>
        <w:tc>
          <w:tcPr>
            <w:cnfStyle w:val="001000000000" w:firstRow="0" w:lastRow="0" w:firstColumn="1" w:lastColumn="0" w:oddVBand="0" w:evenVBand="0" w:oddHBand="0" w:evenHBand="0" w:firstRowFirstColumn="0" w:firstRowLastColumn="0" w:lastRowFirstColumn="0" w:lastRowLastColumn="0"/>
            <w:tcW w:w="1555" w:type="dxa"/>
            <w:vAlign w:val="bottom"/>
            <w:hideMark/>
          </w:tcPr>
          <w:p w14:paraId="359BF967" w14:textId="388845ED" w:rsidR="00DE0A7D" w:rsidRPr="003E1B37" w:rsidRDefault="00DE0A7D" w:rsidP="00DE0A7D">
            <w:pPr>
              <w:rPr>
                <w:rFonts w:eastAsia="Times New Roman" w:cstheme="minorHAnsi"/>
                <w:lang w:eastAsia="en-GB"/>
              </w:rPr>
            </w:pPr>
            <w:r w:rsidRPr="003E1B37">
              <w:rPr>
                <w:rFonts w:cstheme="minorHAnsi"/>
                <w:color w:val="000000"/>
              </w:rPr>
              <w:t>31st Oct 2016</w:t>
            </w:r>
          </w:p>
        </w:tc>
        <w:tc>
          <w:tcPr>
            <w:tcW w:w="1113" w:type="dxa"/>
            <w:noWrap/>
            <w:vAlign w:val="bottom"/>
            <w:hideMark/>
          </w:tcPr>
          <w:p w14:paraId="3BBBBCE9" w14:textId="1F2CE524"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23.1%</w:t>
            </w:r>
          </w:p>
        </w:tc>
        <w:tc>
          <w:tcPr>
            <w:tcW w:w="1114" w:type="dxa"/>
            <w:noWrap/>
            <w:vAlign w:val="bottom"/>
            <w:hideMark/>
          </w:tcPr>
          <w:p w14:paraId="2C4AFDFA" w14:textId="1F192A45"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23.2%</w:t>
            </w:r>
          </w:p>
        </w:tc>
        <w:tc>
          <w:tcPr>
            <w:tcW w:w="1114" w:type="dxa"/>
            <w:noWrap/>
            <w:vAlign w:val="bottom"/>
            <w:hideMark/>
          </w:tcPr>
          <w:p w14:paraId="53FE36A9" w14:textId="37608CE3"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8.5%</w:t>
            </w:r>
          </w:p>
        </w:tc>
        <w:tc>
          <w:tcPr>
            <w:tcW w:w="1113" w:type="dxa"/>
            <w:noWrap/>
            <w:vAlign w:val="bottom"/>
            <w:hideMark/>
          </w:tcPr>
          <w:p w14:paraId="5A83DF3D" w14:textId="24B065DB"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29.5%</w:t>
            </w:r>
          </w:p>
        </w:tc>
        <w:tc>
          <w:tcPr>
            <w:tcW w:w="1114" w:type="dxa"/>
            <w:noWrap/>
            <w:vAlign w:val="bottom"/>
            <w:hideMark/>
          </w:tcPr>
          <w:p w14:paraId="10180BF1" w14:textId="25119325"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23.6%</w:t>
            </w:r>
          </w:p>
        </w:tc>
        <w:tc>
          <w:tcPr>
            <w:tcW w:w="1236" w:type="dxa"/>
            <w:noWrap/>
            <w:vAlign w:val="bottom"/>
            <w:hideMark/>
          </w:tcPr>
          <w:p w14:paraId="058EDBCB" w14:textId="6912A620"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25.9%</w:t>
            </w:r>
          </w:p>
        </w:tc>
        <w:tc>
          <w:tcPr>
            <w:tcW w:w="1134" w:type="dxa"/>
            <w:noWrap/>
            <w:vAlign w:val="bottom"/>
            <w:hideMark/>
          </w:tcPr>
          <w:p w14:paraId="5492B9E9" w14:textId="2FC7506B"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lang w:eastAsia="en-GB"/>
              </w:rPr>
            </w:pPr>
            <w:r w:rsidRPr="003E1B37">
              <w:rPr>
                <w:rFonts w:cstheme="minorHAnsi"/>
                <w:b/>
                <w:bCs/>
                <w:color w:val="000000"/>
              </w:rPr>
              <w:t>23.9%</w:t>
            </w:r>
          </w:p>
        </w:tc>
      </w:tr>
      <w:tr w:rsidR="00DE0A7D" w:rsidRPr="003E1B37" w14:paraId="659EF0B6" w14:textId="77777777" w:rsidTr="003E1B37">
        <w:trPr>
          <w:trHeight w:val="288"/>
        </w:trPr>
        <w:tc>
          <w:tcPr>
            <w:cnfStyle w:val="001000000000" w:firstRow="0" w:lastRow="0" w:firstColumn="1" w:lastColumn="0" w:oddVBand="0" w:evenVBand="0" w:oddHBand="0" w:evenHBand="0" w:firstRowFirstColumn="0" w:firstRowLastColumn="0" w:lastRowFirstColumn="0" w:lastRowLastColumn="0"/>
            <w:tcW w:w="1555" w:type="dxa"/>
            <w:vAlign w:val="bottom"/>
            <w:hideMark/>
          </w:tcPr>
          <w:p w14:paraId="5372F58E" w14:textId="14DA6328" w:rsidR="00DE0A7D" w:rsidRPr="003E1B37" w:rsidRDefault="00DE0A7D" w:rsidP="00DE0A7D">
            <w:pPr>
              <w:rPr>
                <w:rFonts w:eastAsia="Times New Roman" w:cstheme="minorHAnsi"/>
                <w:lang w:eastAsia="en-GB"/>
              </w:rPr>
            </w:pPr>
            <w:r w:rsidRPr="003E1B37">
              <w:rPr>
                <w:rFonts w:cstheme="minorHAnsi"/>
                <w:color w:val="000000"/>
              </w:rPr>
              <w:t>31st Oct 2017</w:t>
            </w:r>
          </w:p>
        </w:tc>
        <w:tc>
          <w:tcPr>
            <w:tcW w:w="1113" w:type="dxa"/>
            <w:noWrap/>
            <w:vAlign w:val="bottom"/>
            <w:hideMark/>
          </w:tcPr>
          <w:p w14:paraId="7C431D1A" w14:textId="32DD54D8"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21.9%</w:t>
            </w:r>
          </w:p>
        </w:tc>
        <w:tc>
          <w:tcPr>
            <w:tcW w:w="1114" w:type="dxa"/>
            <w:noWrap/>
            <w:vAlign w:val="bottom"/>
            <w:hideMark/>
          </w:tcPr>
          <w:p w14:paraId="35C06A74" w14:textId="2FB2E1A3"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20.3%</w:t>
            </w:r>
          </w:p>
        </w:tc>
        <w:tc>
          <w:tcPr>
            <w:tcW w:w="1114" w:type="dxa"/>
            <w:noWrap/>
            <w:vAlign w:val="bottom"/>
            <w:hideMark/>
          </w:tcPr>
          <w:p w14:paraId="31C0AF4B" w14:textId="6051FA2C"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8.4%</w:t>
            </w:r>
          </w:p>
        </w:tc>
        <w:tc>
          <w:tcPr>
            <w:tcW w:w="1113" w:type="dxa"/>
            <w:noWrap/>
            <w:vAlign w:val="bottom"/>
            <w:hideMark/>
          </w:tcPr>
          <w:p w14:paraId="4811B134" w14:textId="045894A2"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28.6%</w:t>
            </w:r>
          </w:p>
        </w:tc>
        <w:tc>
          <w:tcPr>
            <w:tcW w:w="1114" w:type="dxa"/>
            <w:noWrap/>
            <w:vAlign w:val="bottom"/>
            <w:hideMark/>
          </w:tcPr>
          <w:p w14:paraId="69C7F360" w14:textId="2EC23635"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24.0%</w:t>
            </w:r>
          </w:p>
        </w:tc>
        <w:tc>
          <w:tcPr>
            <w:tcW w:w="1236" w:type="dxa"/>
            <w:noWrap/>
            <w:vAlign w:val="bottom"/>
            <w:hideMark/>
          </w:tcPr>
          <w:p w14:paraId="36D0A1C3" w14:textId="681526AB"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26.9%</w:t>
            </w:r>
          </w:p>
        </w:tc>
        <w:tc>
          <w:tcPr>
            <w:tcW w:w="1134" w:type="dxa"/>
            <w:noWrap/>
            <w:vAlign w:val="bottom"/>
            <w:hideMark/>
          </w:tcPr>
          <w:p w14:paraId="7CDA814A" w14:textId="5FAD6450"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lang w:eastAsia="en-GB"/>
              </w:rPr>
            </w:pPr>
            <w:r w:rsidRPr="003E1B37">
              <w:rPr>
                <w:rFonts w:cstheme="minorHAnsi"/>
                <w:b/>
                <w:bCs/>
                <w:color w:val="000000"/>
              </w:rPr>
              <w:t>24.0%</w:t>
            </w:r>
          </w:p>
        </w:tc>
      </w:tr>
      <w:tr w:rsidR="00DE0A7D" w:rsidRPr="003E1B37" w14:paraId="6734AF60" w14:textId="77777777" w:rsidTr="003E1B37">
        <w:trPr>
          <w:trHeight w:val="288"/>
        </w:trPr>
        <w:tc>
          <w:tcPr>
            <w:cnfStyle w:val="001000000000" w:firstRow="0" w:lastRow="0" w:firstColumn="1" w:lastColumn="0" w:oddVBand="0" w:evenVBand="0" w:oddHBand="0" w:evenHBand="0" w:firstRowFirstColumn="0" w:firstRowLastColumn="0" w:lastRowFirstColumn="0" w:lastRowLastColumn="0"/>
            <w:tcW w:w="1555" w:type="dxa"/>
            <w:vAlign w:val="bottom"/>
            <w:hideMark/>
          </w:tcPr>
          <w:p w14:paraId="63040908" w14:textId="609A7578" w:rsidR="00DE0A7D" w:rsidRPr="003E1B37" w:rsidRDefault="00DE0A7D" w:rsidP="00DE0A7D">
            <w:pPr>
              <w:rPr>
                <w:rFonts w:eastAsia="Times New Roman" w:cstheme="minorHAnsi"/>
                <w:lang w:eastAsia="en-GB"/>
              </w:rPr>
            </w:pPr>
            <w:r w:rsidRPr="003E1B37">
              <w:rPr>
                <w:rFonts w:cstheme="minorHAnsi"/>
                <w:color w:val="000000"/>
              </w:rPr>
              <w:t>31st Oct 2018</w:t>
            </w:r>
          </w:p>
        </w:tc>
        <w:tc>
          <w:tcPr>
            <w:tcW w:w="1113" w:type="dxa"/>
            <w:noWrap/>
            <w:vAlign w:val="bottom"/>
            <w:hideMark/>
          </w:tcPr>
          <w:p w14:paraId="2CDB73EA" w14:textId="36CC2408"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22.8%</w:t>
            </w:r>
          </w:p>
        </w:tc>
        <w:tc>
          <w:tcPr>
            <w:tcW w:w="1114" w:type="dxa"/>
            <w:noWrap/>
            <w:vAlign w:val="bottom"/>
            <w:hideMark/>
          </w:tcPr>
          <w:p w14:paraId="79FAA315" w14:textId="1A6179AB"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20.6%</w:t>
            </w:r>
          </w:p>
        </w:tc>
        <w:tc>
          <w:tcPr>
            <w:tcW w:w="1114" w:type="dxa"/>
            <w:noWrap/>
            <w:vAlign w:val="bottom"/>
            <w:hideMark/>
          </w:tcPr>
          <w:p w14:paraId="1F4F5CFC" w14:textId="2060B7AA"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8.4%</w:t>
            </w:r>
          </w:p>
        </w:tc>
        <w:tc>
          <w:tcPr>
            <w:tcW w:w="1113" w:type="dxa"/>
            <w:noWrap/>
            <w:vAlign w:val="bottom"/>
            <w:hideMark/>
          </w:tcPr>
          <w:p w14:paraId="42AEE8DE" w14:textId="014D7936"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28.0%</w:t>
            </w:r>
          </w:p>
        </w:tc>
        <w:tc>
          <w:tcPr>
            <w:tcW w:w="1114" w:type="dxa"/>
            <w:noWrap/>
            <w:vAlign w:val="bottom"/>
            <w:hideMark/>
          </w:tcPr>
          <w:p w14:paraId="4B2864C4" w14:textId="060EB439"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24.8%</w:t>
            </w:r>
          </w:p>
        </w:tc>
        <w:tc>
          <w:tcPr>
            <w:tcW w:w="1236" w:type="dxa"/>
            <w:noWrap/>
            <w:vAlign w:val="bottom"/>
            <w:hideMark/>
          </w:tcPr>
          <w:p w14:paraId="67AE7E0E" w14:textId="040828D0"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26.1%</w:t>
            </w:r>
          </w:p>
        </w:tc>
        <w:tc>
          <w:tcPr>
            <w:tcW w:w="1134" w:type="dxa"/>
            <w:noWrap/>
            <w:vAlign w:val="bottom"/>
            <w:hideMark/>
          </w:tcPr>
          <w:p w14:paraId="2C26CA89" w14:textId="02DA1566"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lang w:eastAsia="en-GB"/>
              </w:rPr>
            </w:pPr>
            <w:r w:rsidRPr="003E1B37">
              <w:rPr>
                <w:rFonts w:cstheme="minorHAnsi"/>
                <w:b/>
                <w:bCs/>
                <w:color w:val="000000"/>
              </w:rPr>
              <w:t>24.9%</w:t>
            </w:r>
          </w:p>
        </w:tc>
      </w:tr>
      <w:tr w:rsidR="00DE0A7D" w:rsidRPr="003E1B37" w14:paraId="01525E70" w14:textId="77777777" w:rsidTr="003E1B37">
        <w:trPr>
          <w:trHeight w:val="288"/>
        </w:trPr>
        <w:tc>
          <w:tcPr>
            <w:cnfStyle w:val="001000000000" w:firstRow="0" w:lastRow="0" w:firstColumn="1" w:lastColumn="0" w:oddVBand="0" w:evenVBand="0" w:oddHBand="0" w:evenHBand="0" w:firstRowFirstColumn="0" w:firstRowLastColumn="0" w:lastRowFirstColumn="0" w:lastRowLastColumn="0"/>
            <w:tcW w:w="1555" w:type="dxa"/>
            <w:vAlign w:val="bottom"/>
            <w:hideMark/>
          </w:tcPr>
          <w:p w14:paraId="24D4526B" w14:textId="04724777" w:rsidR="00DE0A7D" w:rsidRPr="003E1B37" w:rsidRDefault="00DE0A7D" w:rsidP="00DE0A7D">
            <w:pPr>
              <w:rPr>
                <w:rFonts w:eastAsia="Times New Roman" w:cstheme="minorHAnsi"/>
                <w:lang w:eastAsia="en-GB"/>
              </w:rPr>
            </w:pPr>
            <w:r w:rsidRPr="003E1B37">
              <w:rPr>
                <w:rFonts w:cstheme="minorHAnsi"/>
                <w:color w:val="000000"/>
              </w:rPr>
              <w:t>31st Oct 2019</w:t>
            </w:r>
          </w:p>
        </w:tc>
        <w:tc>
          <w:tcPr>
            <w:tcW w:w="1113" w:type="dxa"/>
            <w:noWrap/>
            <w:vAlign w:val="bottom"/>
            <w:hideMark/>
          </w:tcPr>
          <w:p w14:paraId="006A9782" w14:textId="52D019BA"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22.0%</w:t>
            </w:r>
          </w:p>
        </w:tc>
        <w:tc>
          <w:tcPr>
            <w:tcW w:w="1114" w:type="dxa"/>
            <w:noWrap/>
            <w:vAlign w:val="bottom"/>
            <w:hideMark/>
          </w:tcPr>
          <w:p w14:paraId="14431864" w14:textId="5278AC5A"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20.3%</w:t>
            </w:r>
          </w:p>
        </w:tc>
        <w:tc>
          <w:tcPr>
            <w:tcW w:w="1114" w:type="dxa"/>
            <w:noWrap/>
            <w:vAlign w:val="bottom"/>
            <w:hideMark/>
          </w:tcPr>
          <w:p w14:paraId="6D0B76B7" w14:textId="08A49E46"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5.9%</w:t>
            </w:r>
          </w:p>
        </w:tc>
        <w:tc>
          <w:tcPr>
            <w:tcW w:w="1113" w:type="dxa"/>
            <w:noWrap/>
            <w:vAlign w:val="bottom"/>
            <w:hideMark/>
          </w:tcPr>
          <w:p w14:paraId="6BD62D45" w14:textId="15E1A821"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28.8%</w:t>
            </w:r>
          </w:p>
        </w:tc>
        <w:tc>
          <w:tcPr>
            <w:tcW w:w="1114" w:type="dxa"/>
            <w:noWrap/>
            <w:vAlign w:val="bottom"/>
            <w:hideMark/>
          </w:tcPr>
          <w:p w14:paraId="1293B01F" w14:textId="32848E80"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24.8%</w:t>
            </w:r>
          </w:p>
        </w:tc>
        <w:tc>
          <w:tcPr>
            <w:tcW w:w="1236" w:type="dxa"/>
            <w:noWrap/>
            <w:vAlign w:val="bottom"/>
            <w:hideMark/>
          </w:tcPr>
          <w:p w14:paraId="46D85912" w14:textId="2F914462"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24.8%</w:t>
            </w:r>
          </w:p>
        </w:tc>
        <w:tc>
          <w:tcPr>
            <w:tcW w:w="1134" w:type="dxa"/>
            <w:noWrap/>
            <w:vAlign w:val="bottom"/>
            <w:hideMark/>
          </w:tcPr>
          <w:p w14:paraId="74DDF023" w14:textId="5C38C66E"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lang w:eastAsia="en-GB"/>
              </w:rPr>
            </w:pPr>
            <w:r w:rsidRPr="003E1B37">
              <w:rPr>
                <w:rFonts w:cstheme="minorHAnsi"/>
                <w:b/>
                <w:bCs/>
                <w:color w:val="000000"/>
              </w:rPr>
              <w:t>25.1%</w:t>
            </w:r>
          </w:p>
        </w:tc>
      </w:tr>
      <w:tr w:rsidR="00DE0A7D" w:rsidRPr="003E1B37" w14:paraId="73723D93" w14:textId="77777777" w:rsidTr="003E1B37">
        <w:trPr>
          <w:trHeight w:val="288"/>
        </w:trPr>
        <w:tc>
          <w:tcPr>
            <w:cnfStyle w:val="001000000000" w:firstRow="0" w:lastRow="0" w:firstColumn="1" w:lastColumn="0" w:oddVBand="0" w:evenVBand="0" w:oddHBand="0" w:evenHBand="0" w:firstRowFirstColumn="0" w:firstRowLastColumn="0" w:lastRowFirstColumn="0" w:lastRowLastColumn="0"/>
            <w:tcW w:w="1555" w:type="dxa"/>
            <w:vAlign w:val="bottom"/>
            <w:hideMark/>
          </w:tcPr>
          <w:p w14:paraId="5CD3CDFA" w14:textId="610129CB" w:rsidR="00DE0A7D" w:rsidRPr="003E1B37" w:rsidRDefault="00DE0A7D" w:rsidP="00DE0A7D">
            <w:pPr>
              <w:rPr>
                <w:rFonts w:eastAsia="Times New Roman" w:cstheme="minorHAnsi"/>
                <w:lang w:eastAsia="en-GB"/>
              </w:rPr>
            </w:pPr>
            <w:r w:rsidRPr="003E1B37">
              <w:rPr>
                <w:rFonts w:cstheme="minorHAnsi"/>
                <w:color w:val="000000"/>
              </w:rPr>
              <w:t>31st Oct 2021</w:t>
            </w:r>
          </w:p>
        </w:tc>
        <w:tc>
          <w:tcPr>
            <w:tcW w:w="1113" w:type="dxa"/>
            <w:noWrap/>
            <w:vAlign w:val="bottom"/>
            <w:hideMark/>
          </w:tcPr>
          <w:p w14:paraId="4491D81F" w14:textId="0258CD64"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22.1%</w:t>
            </w:r>
          </w:p>
        </w:tc>
        <w:tc>
          <w:tcPr>
            <w:tcW w:w="1114" w:type="dxa"/>
            <w:noWrap/>
            <w:vAlign w:val="bottom"/>
            <w:hideMark/>
          </w:tcPr>
          <w:p w14:paraId="2A1CF11C" w14:textId="6C4021BF"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14.3%</w:t>
            </w:r>
          </w:p>
        </w:tc>
        <w:tc>
          <w:tcPr>
            <w:tcW w:w="1114" w:type="dxa"/>
            <w:noWrap/>
            <w:vAlign w:val="bottom"/>
            <w:hideMark/>
          </w:tcPr>
          <w:p w14:paraId="335A7C77" w14:textId="1ABE939C"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8.9%</w:t>
            </w:r>
          </w:p>
        </w:tc>
        <w:tc>
          <w:tcPr>
            <w:tcW w:w="1113" w:type="dxa"/>
            <w:noWrap/>
            <w:vAlign w:val="bottom"/>
            <w:hideMark/>
          </w:tcPr>
          <w:p w14:paraId="3165AB09" w14:textId="342E115F"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26.7%</w:t>
            </w:r>
          </w:p>
        </w:tc>
        <w:tc>
          <w:tcPr>
            <w:tcW w:w="1114" w:type="dxa"/>
            <w:noWrap/>
            <w:vAlign w:val="bottom"/>
            <w:hideMark/>
          </w:tcPr>
          <w:p w14:paraId="245F4EE3" w14:textId="1FFC8741"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22.7%</w:t>
            </w:r>
          </w:p>
        </w:tc>
        <w:tc>
          <w:tcPr>
            <w:tcW w:w="1236" w:type="dxa"/>
            <w:noWrap/>
            <w:vAlign w:val="bottom"/>
            <w:hideMark/>
          </w:tcPr>
          <w:p w14:paraId="77623367" w14:textId="0DB1C73D"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21.5%</w:t>
            </w:r>
          </w:p>
        </w:tc>
        <w:tc>
          <w:tcPr>
            <w:tcW w:w="1134" w:type="dxa"/>
            <w:noWrap/>
            <w:vAlign w:val="bottom"/>
            <w:hideMark/>
          </w:tcPr>
          <w:p w14:paraId="0D5AE790" w14:textId="27ACEDD7"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lang w:eastAsia="en-GB"/>
              </w:rPr>
            </w:pPr>
            <w:r w:rsidRPr="003E1B37">
              <w:rPr>
                <w:rFonts w:cstheme="minorHAnsi"/>
                <w:b/>
                <w:bCs/>
                <w:color w:val="000000"/>
              </w:rPr>
              <w:t>24.0%</w:t>
            </w:r>
          </w:p>
        </w:tc>
      </w:tr>
      <w:tr w:rsidR="00DE0A7D" w:rsidRPr="003E1B37" w14:paraId="21F96414" w14:textId="77777777" w:rsidTr="003E1B37">
        <w:trPr>
          <w:trHeight w:val="288"/>
        </w:trPr>
        <w:tc>
          <w:tcPr>
            <w:cnfStyle w:val="001000000000" w:firstRow="0" w:lastRow="0" w:firstColumn="1" w:lastColumn="0" w:oddVBand="0" w:evenVBand="0" w:oddHBand="0" w:evenHBand="0" w:firstRowFirstColumn="0" w:firstRowLastColumn="0" w:lastRowFirstColumn="0" w:lastRowLastColumn="0"/>
            <w:tcW w:w="1555" w:type="dxa"/>
            <w:vAlign w:val="bottom"/>
            <w:hideMark/>
          </w:tcPr>
          <w:p w14:paraId="18F725A5" w14:textId="4C547FEF" w:rsidR="00DE0A7D" w:rsidRPr="003E1B37" w:rsidRDefault="00DE0A7D" w:rsidP="00DE0A7D">
            <w:pPr>
              <w:rPr>
                <w:rFonts w:eastAsia="Times New Roman" w:cstheme="minorHAnsi"/>
                <w:lang w:eastAsia="en-GB"/>
              </w:rPr>
            </w:pPr>
            <w:r w:rsidRPr="003E1B37">
              <w:rPr>
                <w:rFonts w:cstheme="minorHAnsi"/>
                <w:color w:val="000000"/>
              </w:rPr>
              <w:t>31st Oct 2022</w:t>
            </w:r>
          </w:p>
        </w:tc>
        <w:tc>
          <w:tcPr>
            <w:tcW w:w="1113" w:type="dxa"/>
            <w:noWrap/>
            <w:vAlign w:val="bottom"/>
            <w:hideMark/>
          </w:tcPr>
          <w:p w14:paraId="5C6BDCEB" w14:textId="49106310"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20.6%</w:t>
            </w:r>
          </w:p>
        </w:tc>
        <w:tc>
          <w:tcPr>
            <w:tcW w:w="1114" w:type="dxa"/>
            <w:noWrap/>
            <w:vAlign w:val="bottom"/>
            <w:hideMark/>
          </w:tcPr>
          <w:p w14:paraId="31070321" w14:textId="0890E43D"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15.8%</w:t>
            </w:r>
          </w:p>
        </w:tc>
        <w:tc>
          <w:tcPr>
            <w:tcW w:w="1114" w:type="dxa"/>
            <w:noWrap/>
            <w:vAlign w:val="bottom"/>
            <w:hideMark/>
          </w:tcPr>
          <w:p w14:paraId="750FE812" w14:textId="7DCAA13F"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10.0%</w:t>
            </w:r>
          </w:p>
        </w:tc>
        <w:tc>
          <w:tcPr>
            <w:tcW w:w="1113" w:type="dxa"/>
            <w:noWrap/>
            <w:vAlign w:val="bottom"/>
            <w:hideMark/>
          </w:tcPr>
          <w:p w14:paraId="7E46E7A2" w14:textId="41B0C896"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25.4%</w:t>
            </w:r>
          </w:p>
        </w:tc>
        <w:tc>
          <w:tcPr>
            <w:tcW w:w="1114" w:type="dxa"/>
            <w:noWrap/>
            <w:vAlign w:val="bottom"/>
            <w:hideMark/>
          </w:tcPr>
          <w:p w14:paraId="01311DAD" w14:textId="06042D3C"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20.4%</w:t>
            </w:r>
          </w:p>
        </w:tc>
        <w:tc>
          <w:tcPr>
            <w:tcW w:w="1236" w:type="dxa"/>
            <w:noWrap/>
            <w:vAlign w:val="bottom"/>
            <w:hideMark/>
          </w:tcPr>
          <w:p w14:paraId="544C3802" w14:textId="0B4ED626"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20.1%</w:t>
            </w:r>
          </w:p>
        </w:tc>
        <w:tc>
          <w:tcPr>
            <w:tcW w:w="1134" w:type="dxa"/>
            <w:noWrap/>
            <w:vAlign w:val="bottom"/>
            <w:hideMark/>
          </w:tcPr>
          <w:p w14:paraId="0B0D8D7B" w14:textId="6BADE70F"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lang w:eastAsia="en-GB"/>
              </w:rPr>
            </w:pPr>
            <w:r w:rsidRPr="003E1B37">
              <w:rPr>
                <w:rFonts w:cstheme="minorHAnsi"/>
                <w:b/>
                <w:bCs/>
                <w:color w:val="000000"/>
              </w:rPr>
              <w:t>22.8%</w:t>
            </w:r>
          </w:p>
        </w:tc>
      </w:tr>
      <w:tr w:rsidR="00DE0A7D" w:rsidRPr="003E1B37" w14:paraId="0F808293" w14:textId="77777777" w:rsidTr="003E1B37">
        <w:trPr>
          <w:trHeight w:val="288"/>
        </w:trPr>
        <w:tc>
          <w:tcPr>
            <w:cnfStyle w:val="001000000000" w:firstRow="0" w:lastRow="0" w:firstColumn="1" w:lastColumn="0" w:oddVBand="0" w:evenVBand="0" w:oddHBand="0" w:evenHBand="0" w:firstRowFirstColumn="0" w:firstRowLastColumn="0" w:lastRowFirstColumn="0" w:lastRowLastColumn="0"/>
            <w:tcW w:w="1555" w:type="dxa"/>
            <w:vAlign w:val="bottom"/>
            <w:hideMark/>
          </w:tcPr>
          <w:p w14:paraId="732D06EE" w14:textId="7698AE75" w:rsidR="00DE0A7D" w:rsidRPr="003E1B37" w:rsidRDefault="00DE0A7D" w:rsidP="00DE0A7D">
            <w:pPr>
              <w:rPr>
                <w:rFonts w:eastAsia="Times New Roman" w:cstheme="minorHAnsi"/>
                <w:lang w:eastAsia="en-GB"/>
              </w:rPr>
            </w:pPr>
            <w:r w:rsidRPr="003E1B37">
              <w:rPr>
                <w:rFonts w:cstheme="minorHAnsi"/>
                <w:color w:val="000000"/>
              </w:rPr>
              <w:t>31st Oct 2023</w:t>
            </w:r>
          </w:p>
        </w:tc>
        <w:tc>
          <w:tcPr>
            <w:tcW w:w="1113" w:type="dxa"/>
            <w:noWrap/>
            <w:vAlign w:val="bottom"/>
            <w:hideMark/>
          </w:tcPr>
          <w:p w14:paraId="216FBD2B" w14:textId="21A1474D"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16.2%</w:t>
            </w:r>
          </w:p>
        </w:tc>
        <w:tc>
          <w:tcPr>
            <w:tcW w:w="1114" w:type="dxa"/>
            <w:noWrap/>
            <w:vAlign w:val="bottom"/>
            <w:hideMark/>
          </w:tcPr>
          <w:p w14:paraId="56B8D2E4" w14:textId="7DF79618"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16.1%</w:t>
            </w:r>
          </w:p>
        </w:tc>
        <w:tc>
          <w:tcPr>
            <w:tcW w:w="1114" w:type="dxa"/>
            <w:noWrap/>
            <w:vAlign w:val="bottom"/>
            <w:hideMark/>
          </w:tcPr>
          <w:p w14:paraId="0B7F5E7B" w14:textId="7F2FACD4"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9.7%</w:t>
            </w:r>
          </w:p>
        </w:tc>
        <w:tc>
          <w:tcPr>
            <w:tcW w:w="1113" w:type="dxa"/>
            <w:noWrap/>
            <w:vAlign w:val="bottom"/>
            <w:hideMark/>
          </w:tcPr>
          <w:p w14:paraId="30584C82" w14:textId="0287ED17"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23.3%</w:t>
            </w:r>
          </w:p>
        </w:tc>
        <w:tc>
          <w:tcPr>
            <w:tcW w:w="1114" w:type="dxa"/>
            <w:noWrap/>
            <w:vAlign w:val="bottom"/>
            <w:hideMark/>
          </w:tcPr>
          <w:p w14:paraId="467BD711" w14:textId="00F7CF03"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20.0%</w:t>
            </w:r>
          </w:p>
        </w:tc>
        <w:tc>
          <w:tcPr>
            <w:tcW w:w="1236" w:type="dxa"/>
            <w:noWrap/>
            <w:vAlign w:val="bottom"/>
            <w:hideMark/>
          </w:tcPr>
          <w:p w14:paraId="17F677BA" w14:textId="0995E57E"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color w:val="000000"/>
              </w:rPr>
              <w:t>20.9%</w:t>
            </w:r>
          </w:p>
        </w:tc>
        <w:tc>
          <w:tcPr>
            <w:tcW w:w="1134" w:type="dxa"/>
            <w:noWrap/>
            <w:vAlign w:val="bottom"/>
            <w:hideMark/>
          </w:tcPr>
          <w:p w14:paraId="655BD829" w14:textId="2FDA0928"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lang w:eastAsia="en-GB"/>
              </w:rPr>
            </w:pPr>
            <w:r w:rsidRPr="003E1B37">
              <w:rPr>
                <w:rFonts w:cstheme="minorHAnsi"/>
                <w:b/>
                <w:bCs/>
                <w:color w:val="000000"/>
              </w:rPr>
              <w:t>22.2%</w:t>
            </w:r>
          </w:p>
        </w:tc>
      </w:tr>
      <w:tr w:rsidR="00DE0A7D" w:rsidRPr="003E1B37" w14:paraId="6D915990" w14:textId="77777777" w:rsidTr="003E1B37">
        <w:trPr>
          <w:trHeight w:val="288"/>
        </w:trPr>
        <w:tc>
          <w:tcPr>
            <w:cnfStyle w:val="001000000000" w:firstRow="0" w:lastRow="0" w:firstColumn="1" w:lastColumn="0" w:oddVBand="0" w:evenVBand="0" w:oddHBand="0" w:evenHBand="0" w:firstRowFirstColumn="0" w:firstRowLastColumn="0" w:lastRowFirstColumn="0" w:lastRowLastColumn="0"/>
            <w:tcW w:w="1555" w:type="dxa"/>
            <w:vAlign w:val="bottom"/>
            <w:hideMark/>
          </w:tcPr>
          <w:p w14:paraId="28B96010" w14:textId="7F9FEE42" w:rsidR="00DE0A7D" w:rsidRPr="003E1B37" w:rsidRDefault="00DE0A7D" w:rsidP="00DE0A7D">
            <w:pPr>
              <w:rPr>
                <w:rFonts w:eastAsia="Times New Roman" w:cstheme="minorHAnsi"/>
                <w:lang w:eastAsia="en-GB"/>
              </w:rPr>
            </w:pPr>
            <w:r w:rsidRPr="003E1B37">
              <w:rPr>
                <w:rFonts w:cstheme="minorHAnsi"/>
                <w:color w:val="000000"/>
              </w:rPr>
              <w:t>31st Oct 2024</w:t>
            </w:r>
          </w:p>
        </w:tc>
        <w:tc>
          <w:tcPr>
            <w:tcW w:w="1113" w:type="dxa"/>
            <w:noWrap/>
            <w:vAlign w:val="bottom"/>
            <w:hideMark/>
          </w:tcPr>
          <w:p w14:paraId="6AA71A54" w14:textId="2F14A499"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rPr>
              <w:t>17.4%</w:t>
            </w:r>
          </w:p>
        </w:tc>
        <w:tc>
          <w:tcPr>
            <w:tcW w:w="1114" w:type="dxa"/>
            <w:noWrap/>
            <w:vAlign w:val="bottom"/>
            <w:hideMark/>
          </w:tcPr>
          <w:p w14:paraId="27AA0486" w14:textId="54FDC647"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rPr>
              <w:t>14.7%</w:t>
            </w:r>
          </w:p>
        </w:tc>
        <w:tc>
          <w:tcPr>
            <w:tcW w:w="1114" w:type="dxa"/>
            <w:noWrap/>
            <w:vAlign w:val="bottom"/>
            <w:hideMark/>
          </w:tcPr>
          <w:p w14:paraId="407C53C2" w14:textId="42F431A2"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rPr>
              <w:t>6.9%</w:t>
            </w:r>
          </w:p>
        </w:tc>
        <w:tc>
          <w:tcPr>
            <w:tcW w:w="1113" w:type="dxa"/>
            <w:noWrap/>
            <w:vAlign w:val="bottom"/>
            <w:hideMark/>
          </w:tcPr>
          <w:p w14:paraId="7CA61376" w14:textId="607FB12C"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rPr>
              <w:t>25.2%</w:t>
            </w:r>
          </w:p>
        </w:tc>
        <w:tc>
          <w:tcPr>
            <w:tcW w:w="1114" w:type="dxa"/>
            <w:noWrap/>
            <w:vAlign w:val="bottom"/>
            <w:hideMark/>
          </w:tcPr>
          <w:p w14:paraId="0A459BD8" w14:textId="712D2591"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rPr>
              <w:t>19.6%</w:t>
            </w:r>
          </w:p>
        </w:tc>
        <w:tc>
          <w:tcPr>
            <w:tcW w:w="1236" w:type="dxa"/>
            <w:noWrap/>
            <w:vAlign w:val="bottom"/>
            <w:hideMark/>
          </w:tcPr>
          <w:p w14:paraId="2B785841" w14:textId="673CEA50"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E1B37">
              <w:rPr>
                <w:rFonts w:cstheme="minorHAnsi"/>
              </w:rPr>
              <w:t>20.9%</w:t>
            </w:r>
          </w:p>
        </w:tc>
        <w:tc>
          <w:tcPr>
            <w:tcW w:w="1134" w:type="dxa"/>
            <w:noWrap/>
            <w:vAlign w:val="bottom"/>
            <w:hideMark/>
          </w:tcPr>
          <w:p w14:paraId="42DE8496" w14:textId="42CDCDBA" w:rsidR="00DE0A7D" w:rsidRPr="003E1B37" w:rsidRDefault="00DE0A7D" w:rsidP="00DE0A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lang w:eastAsia="en-GB"/>
              </w:rPr>
            </w:pPr>
            <w:r w:rsidRPr="003E1B37">
              <w:rPr>
                <w:rFonts w:cstheme="minorHAnsi"/>
                <w:b/>
                <w:bCs/>
              </w:rPr>
              <w:t>22.8%</w:t>
            </w:r>
          </w:p>
        </w:tc>
      </w:tr>
    </w:tbl>
    <w:p w14:paraId="48705CA9" w14:textId="7C36A4E2" w:rsidR="009443D3" w:rsidRDefault="009443D3" w:rsidP="00956354">
      <w:r>
        <w:rPr>
          <w:i/>
          <w:sz w:val="20"/>
          <w:szCs w:val="20"/>
        </w:rPr>
        <w:t xml:space="preserve">Table 2: City/town centre non-domestic property vacancy rates between </w:t>
      </w:r>
      <w:r w:rsidR="00A24783">
        <w:rPr>
          <w:i/>
          <w:sz w:val="20"/>
          <w:szCs w:val="20"/>
        </w:rPr>
        <w:t>31</w:t>
      </w:r>
      <w:r w:rsidR="00A24783" w:rsidRPr="00DE0A7D">
        <w:rPr>
          <w:i/>
          <w:sz w:val="20"/>
          <w:szCs w:val="20"/>
          <w:vertAlign w:val="superscript"/>
        </w:rPr>
        <w:t>st</w:t>
      </w:r>
      <w:r w:rsidR="00A24783">
        <w:rPr>
          <w:i/>
          <w:sz w:val="20"/>
          <w:szCs w:val="20"/>
        </w:rPr>
        <w:t xml:space="preserve"> October </w:t>
      </w:r>
      <w:r>
        <w:rPr>
          <w:i/>
          <w:sz w:val="20"/>
          <w:szCs w:val="20"/>
        </w:rPr>
        <w:t xml:space="preserve">2016 and </w:t>
      </w:r>
      <w:r w:rsidR="00A24783">
        <w:rPr>
          <w:i/>
          <w:sz w:val="20"/>
          <w:szCs w:val="20"/>
        </w:rPr>
        <w:t>31</w:t>
      </w:r>
      <w:r w:rsidR="00A24783" w:rsidRPr="00DE0A7D">
        <w:rPr>
          <w:i/>
          <w:sz w:val="20"/>
          <w:szCs w:val="20"/>
          <w:vertAlign w:val="superscript"/>
        </w:rPr>
        <w:t>st</w:t>
      </w:r>
      <w:r w:rsidR="00A24783">
        <w:rPr>
          <w:i/>
          <w:sz w:val="20"/>
          <w:szCs w:val="20"/>
        </w:rPr>
        <w:t xml:space="preserve"> October </w:t>
      </w:r>
      <w:r>
        <w:rPr>
          <w:i/>
          <w:sz w:val="20"/>
          <w:szCs w:val="20"/>
        </w:rPr>
        <w:t>2024</w:t>
      </w:r>
      <w:r w:rsidRPr="002A2185">
        <w:rPr>
          <w:i/>
          <w:sz w:val="20"/>
          <w:szCs w:val="20"/>
        </w:rPr>
        <w:t>. Source:</w:t>
      </w:r>
      <w:r>
        <w:rPr>
          <w:i/>
          <w:sz w:val="20"/>
          <w:szCs w:val="20"/>
        </w:rPr>
        <w:t xml:space="preserve"> Land and Property Services via Town Centre Database, Department for Communities</w:t>
      </w:r>
      <w:r w:rsidRPr="002A2185">
        <w:rPr>
          <w:i/>
          <w:sz w:val="20"/>
          <w:szCs w:val="20"/>
        </w:rPr>
        <w:t>.</w:t>
      </w:r>
    </w:p>
    <w:p w14:paraId="1D0DEA38" w14:textId="77777777" w:rsidR="009443D3" w:rsidRDefault="009443D3" w:rsidP="00956354"/>
    <w:p w14:paraId="48F6F2E0" w14:textId="4A8F946C" w:rsidR="0002582D" w:rsidRPr="0002582D" w:rsidRDefault="00C51627" w:rsidP="00AA2364">
      <w:r>
        <w:t xml:space="preserve">Of the 41 towns and cities contained within the Town Centre </w:t>
      </w:r>
      <w:r w:rsidR="00936C9E">
        <w:t xml:space="preserve">Database, Dromore </w:t>
      </w:r>
      <w:r w:rsidR="0002582D">
        <w:t xml:space="preserve">currently </w:t>
      </w:r>
      <w:r w:rsidR="00936C9E">
        <w:t xml:space="preserve">has the </w:t>
      </w:r>
      <w:r w:rsidR="00A24783">
        <w:t>fourth</w:t>
      </w:r>
      <w:r w:rsidR="00936C9E">
        <w:t xml:space="preserve"> </w:t>
      </w:r>
      <w:r>
        <w:t>highest</w:t>
      </w:r>
      <w:r w:rsidR="00AA2364">
        <w:t xml:space="preserve"> non-domestic property vacancy rate</w:t>
      </w:r>
      <w:r w:rsidR="004E798D">
        <w:t xml:space="preserve"> as </w:t>
      </w:r>
      <w:proofErr w:type="gramStart"/>
      <w:r w:rsidR="004E798D">
        <w:t>at</w:t>
      </w:r>
      <w:proofErr w:type="gramEnd"/>
      <w:r w:rsidR="004E798D">
        <w:t xml:space="preserve"> </w:t>
      </w:r>
      <w:r w:rsidR="00A24783">
        <w:t>31</w:t>
      </w:r>
      <w:r w:rsidR="00A24783" w:rsidRPr="00A24783">
        <w:rPr>
          <w:vertAlign w:val="superscript"/>
        </w:rPr>
        <w:t>st</w:t>
      </w:r>
      <w:r w:rsidR="00A24783">
        <w:t xml:space="preserve"> October</w:t>
      </w:r>
      <w:r w:rsidR="0002582D">
        <w:t xml:space="preserve"> 2024</w:t>
      </w:r>
      <w:r>
        <w:t xml:space="preserve">. </w:t>
      </w:r>
      <w:r w:rsidR="00B445E3">
        <w:t xml:space="preserve"> </w:t>
      </w:r>
      <w:r w:rsidR="00936C9E">
        <w:t>Portadown</w:t>
      </w:r>
      <w:r w:rsidR="00663F9F">
        <w:t xml:space="preserve"> </w:t>
      </w:r>
      <w:r w:rsidR="00A24783">
        <w:t>is currently the twelfth</w:t>
      </w:r>
      <w:r w:rsidR="00663F9F">
        <w:t xml:space="preserve"> </w:t>
      </w:r>
      <w:r w:rsidR="00A24783">
        <w:t>highest while</w:t>
      </w:r>
      <w:r w:rsidR="00AA2364">
        <w:t xml:space="preserve"> Craigavon has the</w:t>
      </w:r>
      <w:r w:rsidR="00936C9E">
        <w:t xml:space="preserve"> </w:t>
      </w:r>
      <w:r w:rsidR="0002582D">
        <w:t>second</w:t>
      </w:r>
      <w:r w:rsidR="00AA2364">
        <w:t xml:space="preserve"> lowest vacancy rate of the 41 towns and cities</w:t>
      </w:r>
      <w:r w:rsidR="00663F9F">
        <w:t xml:space="preserve"> at </w:t>
      </w:r>
      <w:r w:rsidR="00A24783">
        <w:t>6</w:t>
      </w:r>
      <w:r w:rsidR="0002582D">
        <w:t>.9</w:t>
      </w:r>
      <w:r w:rsidR="00663F9F">
        <w:t>%</w:t>
      </w:r>
      <w:r w:rsidR="00AA2364">
        <w:t>.</w:t>
      </w:r>
      <w:r w:rsidR="00CA23AC">
        <w:t xml:space="preserve"> </w:t>
      </w:r>
      <w:r w:rsidR="0002582D">
        <w:t xml:space="preserve"> The town centre vacancy rates in all towns and cities in the Borough, except Dromore, fall below the Northern Ireland average. </w:t>
      </w:r>
    </w:p>
    <w:p w14:paraId="5D4DE07D" w14:textId="6A84EEB7" w:rsidR="00AA2364" w:rsidRPr="00AA2364" w:rsidRDefault="00A24783" w:rsidP="00AA2364">
      <w:r>
        <w:rPr>
          <w:noProof/>
        </w:rPr>
        <w:drawing>
          <wp:inline distT="0" distB="0" distL="0" distR="0" wp14:anchorId="7CCE1FF7" wp14:editId="7C6B7D93">
            <wp:extent cx="5972175" cy="3390900"/>
            <wp:effectExtent l="0" t="0" r="9525" b="0"/>
            <wp:docPr id="1127198643" name="Chart 1">
              <a:extLst xmlns:a="http://schemas.openxmlformats.org/drawingml/2006/main">
                <a:ext uri="{FF2B5EF4-FFF2-40B4-BE49-F238E27FC236}">
                  <a16:creationId xmlns:a16="http://schemas.microsoft.com/office/drawing/2014/main" id="{67525A92-5E63-3E51-03C1-E69681D51F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i/>
          <w:sz w:val="20"/>
          <w:szCs w:val="20"/>
        </w:rPr>
        <w:t xml:space="preserve"> </w:t>
      </w:r>
      <w:r w:rsidR="00C07F07">
        <w:rPr>
          <w:i/>
          <w:sz w:val="20"/>
          <w:szCs w:val="20"/>
        </w:rPr>
        <w:t xml:space="preserve">Figure 2: </w:t>
      </w:r>
      <w:r w:rsidR="00AA2364">
        <w:rPr>
          <w:i/>
          <w:sz w:val="20"/>
          <w:szCs w:val="20"/>
        </w:rPr>
        <w:t>City/town centre non-domestic</w:t>
      </w:r>
      <w:r w:rsidR="007D43A5">
        <w:rPr>
          <w:i/>
          <w:sz w:val="20"/>
          <w:szCs w:val="20"/>
        </w:rPr>
        <w:t xml:space="preserve"> property vacancy rates as </w:t>
      </w:r>
      <w:proofErr w:type="gramStart"/>
      <w:r w:rsidR="007D43A5">
        <w:rPr>
          <w:i/>
          <w:sz w:val="20"/>
          <w:szCs w:val="20"/>
        </w:rPr>
        <w:t>at</w:t>
      </w:r>
      <w:proofErr w:type="gramEnd"/>
      <w:r w:rsidR="007D43A5">
        <w:rPr>
          <w:i/>
          <w:sz w:val="20"/>
          <w:szCs w:val="20"/>
        </w:rPr>
        <w:t xml:space="preserve"> </w:t>
      </w:r>
      <w:r>
        <w:rPr>
          <w:i/>
          <w:sz w:val="20"/>
          <w:szCs w:val="20"/>
        </w:rPr>
        <w:t>31</w:t>
      </w:r>
      <w:r w:rsidRPr="00DE0A7D">
        <w:rPr>
          <w:i/>
          <w:sz w:val="20"/>
          <w:szCs w:val="20"/>
          <w:vertAlign w:val="superscript"/>
        </w:rPr>
        <w:t>st</w:t>
      </w:r>
      <w:r>
        <w:rPr>
          <w:i/>
          <w:sz w:val="20"/>
          <w:szCs w:val="20"/>
        </w:rPr>
        <w:t xml:space="preserve"> October </w:t>
      </w:r>
      <w:r w:rsidR="0002582D">
        <w:rPr>
          <w:i/>
          <w:sz w:val="20"/>
          <w:szCs w:val="20"/>
        </w:rPr>
        <w:t>2024</w:t>
      </w:r>
      <w:r w:rsidR="00AA2364" w:rsidRPr="002A2185">
        <w:rPr>
          <w:i/>
          <w:sz w:val="20"/>
          <w:szCs w:val="20"/>
        </w:rPr>
        <w:t>. Source:</w:t>
      </w:r>
      <w:r w:rsidR="00AA2364">
        <w:rPr>
          <w:i/>
          <w:sz w:val="20"/>
          <w:szCs w:val="20"/>
        </w:rPr>
        <w:t xml:space="preserve"> Land and Property Services via Town Centre Database, Department for Communities</w:t>
      </w:r>
      <w:r w:rsidR="00AA2364" w:rsidRPr="002A2185">
        <w:rPr>
          <w:i/>
          <w:sz w:val="20"/>
          <w:szCs w:val="20"/>
        </w:rPr>
        <w:t>.</w:t>
      </w:r>
      <w:r w:rsidR="00AA2364">
        <w:rPr>
          <w:i/>
          <w:sz w:val="20"/>
          <w:szCs w:val="20"/>
        </w:rPr>
        <w:t xml:space="preserve"> </w:t>
      </w:r>
    </w:p>
    <w:p w14:paraId="0FA9FF11" w14:textId="77777777" w:rsidR="00AA2364" w:rsidRDefault="00AA2364" w:rsidP="00956354">
      <w:r>
        <w:t>Further information on town centre vacancy rates can be found via the following link:</w:t>
      </w:r>
    </w:p>
    <w:p w14:paraId="07AAF8FC" w14:textId="77777777" w:rsidR="00C51627" w:rsidRPr="00956354" w:rsidRDefault="00AA2364" w:rsidP="00956354">
      <w:hyperlink r:id="rId8" w:history="1">
        <w:r>
          <w:rPr>
            <w:rStyle w:val="Hyperlink"/>
          </w:rPr>
          <w:t>https://www.communities-ni.gov.uk/publications/town-centre-database</w:t>
        </w:r>
      </w:hyperlink>
    </w:p>
    <w:sectPr w:rsidR="00C51627" w:rsidRPr="0095635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2A512" w14:textId="77777777" w:rsidR="00C07F07" w:rsidRDefault="00C07F07" w:rsidP="00C07F07">
      <w:pPr>
        <w:spacing w:after="0" w:line="240" w:lineRule="auto"/>
      </w:pPr>
      <w:r>
        <w:separator/>
      </w:r>
    </w:p>
  </w:endnote>
  <w:endnote w:type="continuationSeparator" w:id="0">
    <w:p w14:paraId="6096D57F" w14:textId="77777777" w:rsidR="00C07F07" w:rsidRDefault="00C07F07" w:rsidP="00C0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315475"/>
      <w:docPartObj>
        <w:docPartGallery w:val="Page Numbers (Bottom of Page)"/>
        <w:docPartUnique/>
      </w:docPartObj>
    </w:sdtPr>
    <w:sdtEndPr>
      <w:rPr>
        <w:noProof/>
      </w:rPr>
    </w:sdtEndPr>
    <w:sdtContent>
      <w:p w14:paraId="514ADAEB" w14:textId="77777777" w:rsidR="00C07F07" w:rsidRDefault="00C07F07">
        <w:pPr>
          <w:pStyle w:val="Footer"/>
          <w:jc w:val="right"/>
        </w:pPr>
        <w:r>
          <w:fldChar w:fldCharType="begin"/>
        </w:r>
        <w:r>
          <w:instrText xml:space="preserve"> PAGE   \* MERGEFORMAT </w:instrText>
        </w:r>
        <w:r>
          <w:fldChar w:fldCharType="separate"/>
        </w:r>
        <w:r w:rsidR="001C3C76">
          <w:rPr>
            <w:noProof/>
          </w:rPr>
          <w:t>2</w:t>
        </w:r>
        <w:r>
          <w:rPr>
            <w:noProof/>
          </w:rPr>
          <w:fldChar w:fldCharType="end"/>
        </w:r>
      </w:p>
    </w:sdtContent>
  </w:sdt>
  <w:p w14:paraId="3FBD47B5" w14:textId="77777777" w:rsidR="00C07F07" w:rsidRDefault="00C07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86874" w14:textId="77777777" w:rsidR="00C07F07" w:rsidRDefault="00C07F07" w:rsidP="00C07F07">
      <w:pPr>
        <w:spacing w:after="0" w:line="240" w:lineRule="auto"/>
      </w:pPr>
      <w:r>
        <w:separator/>
      </w:r>
    </w:p>
  </w:footnote>
  <w:footnote w:type="continuationSeparator" w:id="0">
    <w:p w14:paraId="543F0768" w14:textId="77777777" w:rsidR="00C07F07" w:rsidRDefault="00C07F07" w:rsidP="00C07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56"/>
    <w:rsid w:val="0002582D"/>
    <w:rsid w:val="00053D6F"/>
    <w:rsid w:val="00095AEC"/>
    <w:rsid w:val="000D3FA8"/>
    <w:rsid w:val="0011217B"/>
    <w:rsid w:val="00136313"/>
    <w:rsid w:val="00163756"/>
    <w:rsid w:val="00164911"/>
    <w:rsid w:val="001C3C76"/>
    <w:rsid w:val="00255460"/>
    <w:rsid w:val="0027097C"/>
    <w:rsid w:val="003471C0"/>
    <w:rsid w:val="00354B28"/>
    <w:rsid w:val="0035789F"/>
    <w:rsid w:val="00374AD9"/>
    <w:rsid w:val="003975ED"/>
    <w:rsid w:val="003B1F7B"/>
    <w:rsid w:val="003E1B37"/>
    <w:rsid w:val="004137D6"/>
    <w:rsid w:val="004172DA"/>
    <w:rsid w:val="004239CA"/>
    <w:rsid w:val="004E798D"/>
    <w:rsid w:val="00521FC0"/>
    <w:rsid w:val="00595145"/>
    <w:rsid w:val="005A6B8B"/>
    <w:rsid w:val="005C2415"/>
    <w:rsid w:val="005D4F3B"/>
    <w:rsid w:val="00663F9F"/>
    <w:rsid w:val="007D43A5"/>
    <w:rsid w:val="00802D52"/>
    <w:rsid w:val="00807126"/>
    <w:rsid w:val="008A3B82"/>
    <w:rsid w:val="008C1BA5"/>
    <w:rsid w:val="008F7B50"/>
    <w:rsid w:val="00936C9E"/>
    <w:rsid w:val="009443D3"/>
    <w:rsid w:val="00956354"/>
    <w:rsid w:val="00980495"/>
    <w:rsid w:val="009C0905"/>
    <w:rsid w:val="00A02E53"/>
    <w:rsid w:val="00A24783"/>
    <w:rsid w:val="00A61EAC"/>
    <w:rsid w:val="00AA2364"/>
    <w:rsid w:val="00AB0D40"/>
    <w:rsid w:val="00AF041A"/>
    <w:rsid w:val="00B445E3"/>
    <w:rsid w:val="00C07F07"/>
    <w:rsid w:val="00C51627"/>
    <w:rsid w:val="00CA23AC"/>
    <w:rsid w:val="00D11E50"/>
    <w:rsid w:val="00D47A51"/>
    <w:rsid w:val="00D71F6B"/>
    <w:rsid w:val="00DD44F4"/>
    <w:rsid w:val="00DE0A7D"/>
    <w:rsid w:val="00DF6D63"/>
    <w:rsid w:val="00E60A23"/>
    <w:rsid w:val="00EB4ADC"/>
    <w:rsid w:val="00ED387B"/>
    <w:rsid w:val="00F05DE3"/>
    <w:rsid w:val="00F2398A"/>
    <w:rsid w:val="00F72D45"/>
    <w:rsid w:val="00FA37E3"/>
    <w:rsid w:val="00FD1406"/>
    <w:rsid w:val="00FF5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61EC"/>
  <w15:chartTrackingRefBased/>
  <w15:docId w15:val="{02E1B8DA-A8E0-42A4-A4F1-3F0DD5E4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2364"/>
    <w:rPr>
      <w:color w:val="0000FF"/>
      <w:u w:val="single"/>
    </w:rPr>
  </w:style>
  <w:style w:type="paragraph" w:styleId="Header">
    <w:name w:val="header"/>
    <w:basedOn w:val="Normal"/>
    <w:link w:val="HeaderChar"/>
    <w:uiPriority w:val="99"/>
    <w:unhideWhenUsed/>
    <w:rsid w:val="00C07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F07"/>
  </w:style>
  <w:style w:type="paragraph" w:styleId="Footer">
    <w:name w:val="footer"/>
    <w:basedOn w:val="Normal"/>
    <w:link w:val="FooterChar"/>
    <w:uiPriority w:val="99"/>
    <w:unhideWhenUsed/>
    <w:rsid w:val="00C07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F07"/>
  </w:style>
  <w:style w:type="character" w:styleId="FollowedHyperlink">
    <w:name w:val="FollowedHyperlink"/>
    <w:basedOn w:val="DefaultParagraphFont"/>
    <w:uiPriority w:val="99"/>
    <w:semiHidden/>
    <w:unhideWhenUsed/>
    <w:rsid w:val="0011217B"/>
    <w:rPr>
      <w:color w:val="954F72" w:themeColor="followedHyperlink"/>
      <w:u w:val="single"/>
    </w:rPr>
  </w:style>
  <w:style w:type="table" w:styleId="GridTable1Light">
    <w:name w:val="Grid Table 1 Light"/>
    <w:basedOn w:val="TableNormal"/>
    <w:uiPriority w:val="46"/>
    <w:rsid w:val="00D71F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2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55259">
      <w:bodyDiv w:val="1"/>
      <w:marLeft w:val="0"/>
      <w:marRight w:val="0"/>
      <w:marTop w:val="0"/>
      <w:marBottom w:val="0"/>
      <w:divBdr>
        <w:top w:val="none" w:sz="0" w:space="0" w:color="auto"/>
        <w:left w:val="none" w:sz="0" w:space="0" w:color="auto"/>
        <w:bottom w:val="none" w:sz="0" w:space="0" w:color="auto"/>
        <w:right w:val="none" w:sz="0" w:space="0" w:color="auto"/>
      </w:divBdr>
    </w:div>
    <w:div w:id="473643637">
      <w:marLeft w:val="0"/>
      <w:marRight w:val="0"/>
      <w:marTop w:val="0"/>
      <w:marBottom w:val="0"/>
      <w:divBdr>
        <w:top w:val="none" w:sz="0" w:space="0" w:color="auto"/>
        <w:left w:val="none" w:sz="0" w:space="0" w:color="auto"/>
        <w:bottom w:val="none" w:sz="0" w:space="0" w:color="auto"/>
        <w:right w:val="none" w:sz="0" w:space="0" w:color="auto"/>
      </w:divBdr>
    </w:div>
    <w:div w:id="612833639">
      <w:marLeft w:val="0"/>
      <w:marRight w:val="0"/>
      <w:marTop w:val="0"/>
      <w:marBottom w:val="0"/>
      <w:divBdr>
        <w:top w:val="none" w:sz="0" w:space="0" w:color="auto"/>
        <w:left w:val="none" w:sz="0" w:space="0" w:color="auto"/>
        <w:bottom w:val="none" w:sz="0" w:space="0" w:color="auto"/>
        <w:right w:val="none" w:sz="0" w:space="0" w:color="auto"/>
      </w:divBdr>
    </w:div>
    <w:div w:id="926110899">
      <w:bodyDiv w:val="1"/>
      <w:marLeft w:val="0"/>
      <w:marRight w:val="0"/>
      <w:marTop w:val="0"/>
      <w:marBottom w:val="0"/>
      <w:divBdr>
        <w:top w:val="none" w:sz="0" w:space="0" w:color="auto"/>
        <w:left w:val="none" w:sz="0" w:space="0" w:color="auto"/>
        <w:bottom w:val="none" w:sz="0" w:space="0" w:color="auto"/>
        <w:right w:val="none" w:sz="0" w:space="0" w:color="auto"/>
      </w:divBdr>
    </w:div>
    <w:div w:id="966395553">
      <w:marLeft w:val="0"/>
      <w:marRight w:val="0"/>
      <w:marTop w:val="0"/>
      <w:marBottom w:val="0"/>
      <w:divBdr>
        <w:top w:val="none" w:sz="0" w:space="0" w:color="auto"/>
        <w:left w:val="none" w:sz="0" w:space="0" w:color="auto"/>
        <w:bottom w:val="none" w:sz="0" w:space="0" w:color="auto"/>
        <w:right w:val="none" w:sz="0" w:space="0" w:color="auto"/>
      </w:divBdr>
    </w:div>
    <w:div w:id="1099333215">
      <w:marLeft w:val="0"/>
      <w:marRight w:val="0"/>
      <w:marTop w:val="0"/>
      <w:marBottom w:val="0"/>
      <w:divBdr>
        <w:top w:val="none" w:sz="0" w:space="0" w:color="auto"/>
        <w:left w:val="none" w:sz="0" w:space="0" w:color="auto"/>
        <w:bottom w:val="none" w:sz="0" w:space="0" w:color="auto"/>
        <w:right w:val="none" w:sz="0" w:space="0" w:color="auto"/>
      </w:divBdr>
    </w:div>
    <w:div w:id="1110474189">
      <w:marLeft w:val="0"/>
      <w:marRight w:val="0"/>
      <w:marTop w:val="0"/>
      <w:marBottom w:val="0"/>
      <w:divBdr>
        <w:top w:val="none" w:sz="0" w:space="0" w:color="auto"/>
        <w:left w:val="none" w:sz="0" w:space="0" w:color="auto"/>
        <w:bottom w:val="none" w:sz="0" w:space="0" w:color="auto"/>
        <w:right w:val="none" w:sz="0" w:space="0" w:color="auto"/>
      </w:divBdr>
    </w:div>
    <w:div w:id="1113012709">
      <w:bodyDiv w:val="1"/>
      <w:marLeft w:val="0"/>
      <w:marRight w:val="0"/>
      <w:marTop w:val="0"/>
      <w:marBottom w:val="0"/>
      <w:divBdr>
        <w:top w:val="none" w:sz="0" w:space="0" w:color="auto"/>
        <w:left w:val="none" w:sz="0" w:space="0" w:color="auto"/>
        <w:bottom w:val="none" w:sz="0" w:space="0" w:color="auto"/>
        <w:right w:val="none" w:sz="0" w:space="0" w:color="auto"/>
      </w:divBdr>
    </w:div>
    <w:div w:id="1200699874">
      <w:bodyDiv w:val="1"/>
      <w:marLeft w:val="0"/>
      <w:marRight w:val="0"/>
      <w:marTop w:val="0"/>
      <w:marBottom w:val="0"/>
      <w:divBdr>
        <w:top w:val="none" w:sz="0" w:space="0" w:color="auto"/>
        <w:left w:val="none" w:sz="0" w:space="0" w:color="auto"/>
        <w:bottom w:val="none" w:sz="0" w:space="0" w:color="auto"/>
        <w:right w:val="none" w:sz="0" w:space="0" w:color="auto"/>
      </w:divBdr>
    </w:div>
    <w:div w:id="1204908624">
      <w:bodyDiv w:val="1"/>
      <w:marLeft w:val="0"/>
      <w:marRight w:val="0"/>
      <w:marTop w:val="0"/>
      <w:marBottom w:val="0"/>
      <w:divBdr>
        <w:top w:val="none" w:sz="0" w:space="0" w:color="auto"/>
        <w:left w:val="none" w:sz="0" w:space="0" w:color="auto"/>
        <w:bottom w:val="none" w:sz="0" w:space="0" w:color="auto"/>
        <w:right w:val="none" w:sz="0" w:space="0" w:color="auto"/>
      </w:divBdr>
    </w:div>
    <w:div w:id="1365014354">
      <w:marLeft w:val="0"/>
      <w:marRight w:val="0"/>
      <w:marTop w:val="0"/>
      <w:marBottom w:val="0"/>
      <w:divBdr>
        <w:top w:val="none" w:sz="0" w:space="0" w:color="auto"/>
        <w:left w:val="none" w:sz="0" w:space="0" w:color="auto"/>
        <w:bottom w:val="none" w:sz="0" w:space="0" w:color="auto"/>
        <w:right w:val="none" w:sz="0" w:space="0" w:color="auto"/>
      </w:divBdr>
    </w:div>
    <w:div w:id="1467695714">
      <w:bodyDiv w:val="1"/>
      <w:marLeft w:val="0"/>
      <w:marRight w:val="0"/>
      <w:marTop w:val="0"/>
      <w:marBottom w:val="0"/>
      <w:divBdr>
        <w:top w:val="none" w:sz="0" w:space="0" w:color="auto"/>
        <w:left w:val="none" w:sz="0" w:space="0" w:color="auto"/>
        <w:bottom w:val="none" w:sz="0" w:space="0" w:color="auto"/>
        <w:right w:val="none" w:sz="0" w:space="0" w:color="auto"/>
      </w:divBdr>
      <w:divsChild>
        <w:div w:id="1854763141">
          <w:marLeft w:val="0"/>
          <w:marRight w:val="0"/>
          <w:marTop w:val="0"/>
          <w:marBottom w:val="0"/>
          <w:divBdr>
            <w:top w:val="none" w:sz="0" w:space="0" w:color="auto"/>
            <w:left w:val="none" w:sz="0" w:space="0" w:color="auto"/>
            <w:bottom w:val="none" w:sz="0" w:space="0" w:color="auto"/>
            <w:right w:val="none" w:sz="0" w:space="0" w:color="auto"/>
          </w:divBdr>
        </w:div>
      </w:divsChild>
    </w:div>
    <w:div w:id="1681811431">
      <w:bodyDiv w:val="1"/>
      <w:marLeft w:val="0"/>
      <w:marRight w:val="0"/>
      <w:marTop w:val="0"/>
      <w:marBottom w:val="0"/>
      <w:divBdr>
        <w:top w:val="none" w:sz="0" w:space="0" w:color="auto"/>
        <w:left w:val="none" w:sz="0" w:space="0" w:color="auto"/>
        <w:bottom w:val="none" w:sz="0" w:space="0" w:color="auto"/>
        <w:right w:val="none" w:sz="0" w:space="0" w:color="auto"/>
      </w:divBdr>
    </w:div>
    <w:div w:id="1783456479">
      <w:bodyDiv w:val="1"/>
      <w:marLeft w:val="0"/>
      <w:marRight w:val="0"/>
      <w:marTop w:val="0"/>
      <w:marBottom w:val="0"/>
      <w:divBdr>
        <w:top w:val="none" w:sz="0" w:space="0" w:color="auto"/>
        <w:left w:val="none" w:sz="0" w:space="0" w:color="auto"/>
        <w:bottom w:val="none" w:sz="0" w:space="0" w:color="auto"/>
        <w:right w:val="none" w:sz="0" w:space="0" w:color="auto"/>
      </w:divBdr>
    </w:div>
    <w:div w:id="1970935413">
      <w:bodyDiv w:val="1"/>
      <w:marLeft w:val="0"/>
      <w:marRight w:val="0"/>
      <w:marTop w:val="0"/>
      <w:marBottom w:val="0"/>
      <w:divBdr>
        <w:top w:val="none" w:sz="0" w:space="0" w:color="auto"/>
        <w:left w:val="none" w:sz="0" w:space="0" w:color="auto"/>
        <w:bottom w:val="none" w:sz="0" w:space="0" w:color="auto"/>
        <w:right w:val="none" w:sz="0" w:space="0" w:color="auto"/>
      </w:divBdr>
    </w:div>
    <w:div w:id="2022122988">
      <w:bodyDiv w:val="1"/>
      <w:marLeft w:val="0"/>
      <w:marRight w:val="0"/>
      <w:marTop w:val="0"/>
      <w:marBottom w:val="0"/>
      <w:divBdr>
        <w:top w:val="none" w:sz="0" w:space="0" w:color="auto"/>
        <w:left w:val="none" w:sz="0" w:space="0" w:color="auto"/>
        <w:bottom w:val="none" w:sz="0" w:space="0" w:color="auto"/>
        <w:right w:val="none" w:sz="0" w:space="0" w:color="auto"/>
      </w:divBdr>
    </w:div>
    <w:div w:id="209046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ies-ni.gov.uk/publications/town-centre-database" TargetMode="Externa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Economy%20and%20Labour%20Market\Updates\2024\Town%20Centre%20Vacancy%20Rates%20-%20updated.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Economy%20and%20Labour%20Market\Updates\2024\Town%20Centre%20Vacancy%20Rates%20-%20updated.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'311024 Tables'!$C$13</c:f>
              <c:strCache>
                <c:ptCount val="1"/>
                <c:pt idx="0">
                  <c:v>% of Vacant Properties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'311024 Tables'!$B$14:$B$19</c:f>
              <c:strCache>
                <c:ptCount val="6"/>
                <c:pt idx="0">
                  <c:v>Dromore</c:v>
                </c:pt>
                <c:pt idx="1">
                  <c:v>Portadown</c:v>
                </c:pt>
                <c:pt idx="2">
                  <c:v>Lurgan</c:v>
                </c:pt>
                <c:pt idx="3">
                  <c:v>Armagh</c:v>
                </c:pt>
                <c:pt idx="4">
                  <c:v>Banbridge</c:v>
                </c:pt>
                <c:pt idx="5">
                  <c:v>Craigavon</c:v>
                </c:pt>
              </c:strCache>
            </c:strRef>
          </c:cat>
          <c:val>
            <c:numRef>
              <c:f>'311024 Tables'!$C$14:$C$19</c:f>
              <c:numCache>
                <c:formatCode>0.0%</c:formatCode>
                <c:ptCount val="6"/>
                <c:pt idx="0">
                  <c:v>0.25196850393700787</c:v>
                </c:pt>
                <c:pt idx="1">
                  <c:v>0.20930232558139536</c:v>
                </c:pt>
                <c:pt idx="2">
                  <c:v>0.19600000000000001</c:v>
                </c:pt>
                <c:pt idx="3">
                  <c:v>0.17438692098092642</c:v>
                </c:pt>
                <c:pt idx="4">
                  <c:v>0.14651162790697675</c:v>
                </c:pt>
                <c:pt idx="5">
                  <c:v>6.9306930693069313E-2</c:v>
                </c:pt>
              </c:numCache>
            </c:numRef>
          </c:val>
          <c:extLst>
            <c:ext xmlns:c16="http://schemas.microsoft.com/office/drawing/2014/chart" uri="{C3380CC4-5D6E-409C-BE32-E72D297353CC}">
              <c16:uniqueId val="{00000000-DC81-47F3-BDD0-7FA4AE1F6AD3}"/>
            </c:ext>
          </c:extLst>
        </c:ser>
        <c:dLbls>
          <c:showLegendKey val="0"/>
          <c:showVal val="0"/>
          <c:showCatName val="0"/>
          <c:showSerName val="0"/>
          <c:showPercent val="0"/>
          <c:showBubbleSize val="0"/>
        </c:dLbls>
        <c:gapWidth val="100"/>
        <c:overlap val="-27"/>
        <c:axId val="1844827359"/>
        <c:axId val="1844812959"/>
      </c:barChart>
      <c:catAx>
        <c:axId val="1844827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812959"/>
        <c:crosses val="autoZero"/>
        <c:auto val="1"/>
        <c:lblAlgn val="ctr"/>
        <c:lblOffset val="100"/>
        <c:noMultiLvlLbl val="0"/>
      </c:catAx>
      <c:valAx>
        <c:axId val="1844812959"/>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8273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'311024 Chart'!$B$5</c:f>
              <c:strCache>
                <c:ptCount val="1"/>
                <c:pt idx="0">
                  <c:v>% of Vacant Properties</c:v>
                </c:pt>
              </c:strCache>
            </c:strRef>
          </c:tx>
          <c:spPr>
            <a:solidFill>
              <a:schemeClr val="accent1"/>
            </a:solidFill>
            <a:ln>
              <a:noFill/>
            </a:ln>
            <a:effectLst/>
          </c:spPr>
          <c:invertIfNegative val="0"/>
          <c:dPt>
            <c:idx val="3"/>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1-5FC5-4CA2-8C38-DB4CD57CD349}"/>
              </c:ext>
            </c:extLst>
          </c:dPt>
          <c:dPt>
            <c:idx val="7"/>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3-5FC5-4CA2-8C38-DB4CD57CD349}"/>
              </c:ext>
            </c:extLst>
          </c:dPt>
          <c:dPt>
            <c:idx val="12"/>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5-5FC5-4CA2-8C38-DB4CD57CD349}"/>
              </c:ext>
            </c:extLst>
          </c:dPt>
          <c:dPt>
            <c:idx val="17"/>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7-5FC5-4CA2-8C38-DB4CD57CD349}"/>
              </c:ext>
            </c:extLst>
          </c:dPt>
          <c:dPt>
            <c:idx val="24"/>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9-5FC5-4CA2-8C38-DB4CD57CD349}"/>
              </c:ext>
            </c:extLst>
          </c:dPt>
          <c:dPt>
            <c:idx val="33"/>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B-5FC5-4CA2-8C38-DB4CD57CD349}"/>
              </c:ext>
            </c:extLst>
          </c:dPt>
          <c:dPt>
            <c:idx val="40"/>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D-5FC5-4CA2-8C38-DB4CD57CD349}"/>
              </c:ext>
            </c:extLst>
          </c:dPt>
          <c:cat>
            <c:strRef>
              <c:f>'311024 Chart'!$A$6:$A$47</c:f>
              <c:strCache>
                <c:ptCount val="42"/>
                <c:pt idx="0">
                  <c:v>BELFAST CITY</c:v>
                </c:pt>
                <c:pt idx="1">
                  <c:v>RANDALSTOWN</c:v>
                </c:pt>
                <c:pt idx="2">
                  <c:v>COALISLAND</c:v>
                </c:pt>
                <c:pt idx="3">
                  <c:v>DROMORE</c:v>
                </c:pt>
                <c:pt idx="4">
                  <c:v>KILKEEL</c:v>
                </c:pt>
                <c:pt idx="5">
                  <c:v>COLERAINE</c:v>
                </c:pt>
                <c:pt idx="6">
                  <c:v>STRABANE</c:v>
                </c:pt>
                <c:pt idx="7">
                  <c:v>NORTHERN IRELAND </c:v>
                </c:pt>
                <c:pt idx="8">
                  <c:v>DOWNPATRICK</c:v>
                </c:pt>
                <c:pt idx="9">
                  <c:v>LARNE</c:v>
                </c:pt>
                <c:pt idx="10">
                  <c:v>NEWTOWNARDS</c:v>
                </c:pt>
                <c:pt idx="11">
                  <c:v>BANGOR</c:v>
                </c:pt>
                <c:pt idx="12">
                  <c:v>PORTADOWN</c:v>
                </c:pt>
                <c:pt idx="13">
                  <c:v>NEWRY</c:v>
                </c:pt>
                <c:pt idx="14">
                  <c:v>BALLYMONEY</c:v>
                </c:pt>
                <c:pt idx="15">
                  <c:v>DUNGANNON</c:v>
                </c:pt>
                <c:pt idx="16">
                  <c:v>WARRENPOINT / BURREN</c:v>
                </c:pt>
                <c:pt idx="17">
                  <c:v>LURGAN</c:v>
                </c:pt>
                <c:pt idx="18">
                  <c:v>DERRY</c:v>
                </c:pt>
                <c:pt idx="19">
                  <c:v>ANTRIM</c:v>
                </c:pt>
                <c:pt idx="20">
                  <c:v>ENNISKILLEN</c:v>
                </c:pt>
                <c:pt idx="21">
                  <c:v>LISBURN CITY</c:v>
                </c:pt>
                <c:pt idx="22">
                  <c:v>OMAGH</c:v>
                </c:pt>
                <c:pt idx="23">
                  <c:v>CRUMLIN</c:v>
                </c:pt>
                <c:pt idx="24">
                  <c:v>ARMAGH</c:v>
                </c:pt>
                <c:pt idx="25">
                  <c:v>DONAGHADEE</c:v>
                </c:pt>
                <c:pt idx="26">
                  <c:v>BALLYNAHINCH</c:v>
                </c:pt>
                <c:pt idx="27">
                  <c:v>LIMAVADY</c:v>
                </c:pt>
                <c:pt idx="28">
                  <c:v>BALLYMENA</c:v>
                </c:pt>
                <c:pt idx="29">
                  <c:v>BALLYCASTLE</c:v>
                </c:pt>
                <c:pt idx="30">
                  <c:v>COOKSTOWN</c:v>
                </c:pt>
                <c:pt idx="31">
                  <c:v>COMBER</c:v>
                </c:pt>
                <c:pt idx="32">
                  <c:v>CARRICKFERGUS</c:v>
                </c:pt>
                <c:pt idx="33">
                  <c:v>BANBRIDGE</c:v>
                </c:pt>
                <c:pt idx="34">
                  <c:v>PORTRUSH</c:v>
                </c:pt>
                <c:pt idx="35">
                  <c:v>PORTSTEWART</c:v>
                </c:pt>
                <c:pt idx="36">
                  <c:v>MAGHERAFELT</c:v>
                </c:pt>
                <c:pt idx="37">
                  <c:v>BALLYCLARE</c:v>
                </c:pt>
                <c:pt idx="38">
                  <c:v>NEWCASTLE</c:v>
                </c:pt>
                <c:pt idx="39">
                  <c:v>HOLYWOOD</c:v>
                </c:pt>
                <c:pt idx="40">
                  <c:v>CRAIGAVON</c:v>
                </c:pt>
                <c:pt idx="41">
                  <c:v>CARRYDUFF</c:v>
                </c:pt>
              </c:strCache>
            </c:strRef>
          </c:cat>
          <c:val>
            <c:numRef>
              <c:f>'311024 Chart'!$B$6:$B$47</c:f>
              <c:numCache>
                <c:formatCode>0.0%</c:formatCode>
                <c:ptCount val="42"/>
                <c:pt idx="0">
                  <c:v>0.34325681492109039</c:v>
                </c:pt>
                <c:pt idx="1">
                  <c:v>0.31007751937984496</c:v>
                </c:pt>
                <c:pt idx="2">
                  <c:v>0.27007299270072993</c:v>
                </c:pt>
                <c:pt idx="3">
                  <c:v>0.25196850393700787</c:v>
                </c:pt>
                <c:pt idx="4">
                  <c:v>0.24870466321243523</c:v>
                </c:pt>
                <c:pt idx="5">
                  <c:v>0.23816355810616929</c:v>
                </c:pt>
                <c:pt idx="6">
                  <c:v>0.23380281690140844</c:v>
                </c:pt>
                <c:pt idx="7">
                  <c:v>0.22814449306396054</c:v>
                </c:pt>
                <c:pt idx="8">
                  <c:v>0.22602739726027396</c:v>
                </c:pt>
                <c:pt idx="9">
                  <c:v>0.21593830334190231</c:v>
                </c:pt>
                <c:pt idx="10">
                  <c:v>0.21082089552238806</c:v>
                </c:pt>
                <c:pt idx="11">
                  <c:v>0.21021021021021022</c:v>
                </c:pt>
                <c:pt idx="12">
                  <c:v>0.20930232558139536</c:v>
                </c:pt>
                <c:pt idx="13">
                  <c:v>0.20829015544041452</c:v>
                </c:pt>
                <c:pt idx="14">
                  <c:v>0.19855595667870035</c:v>
                </c:pt>
                <c:pt idx="15">
                  <c:v>0.1970954356846473</c:v>
                </c:pt>
                <c:pt idx="16">
                  <c:v>0.19689119170984457</c:v>
                </c:pt>
                <c:pt idx="17">
                  <c:v>0.19600000000000001</c:v>
                </c:pt>
                <c:pt idx="18">
                  <c:v>0.19139034322280396</c:v>
                </c:pt>
                <c:pt idx="19">
                  <c:v>0.18874172185430463</c:v>
                </c:pt>
                <c:pt idx="20">
                  <c:v>0.18684603886397608</c:v>
                </c:pt>
                <c:pt idx="21">
                  <c:v>0.18646232439335889</c:v>
                </c:pt>
                <c:pt idx="22">
                  <c:v>0.18529411764705883</c:v>
                </c:pt>
                <c:pt idx="23">
                  <c:v>0.18</c:v>
                </c:pt>
                <c:pt idx="24">
                  <c:v>0.17438692098092642</c:v>
                </c:pt>
                <c:pt idx="25">
                  <c:v>0.17355371900826447</c:v>
                </c:pt>
                <c:pt idx="26">
                  <c:v>0.17204301075268819</c:v>
                </c:pt>
                <c:pt idx="27">
                  <c:v>0.17132867132867133</c:v>
                </c:pt>
                <c:pt idx="28">
                  <c:v>0.16973684210526316</c:v>
                </c:pt>
                <c:pt idx="29">
                  <c:v>0.16875000000000001</c:v>
                </c:pt>
                <c:pt idx="30">
                  <c:v>0.16708860759493671</c:v>
                </c:pt>
                <c:pt idx="31">
                  <c:v>0.15503875968992248</c:v>
                </c:pt>
                <c:pt idx="32">
                  <c:v>0.15032679738562091</c:v>
                </c:pt>
                <c:pt idx="33">
                  <c:v>0.14651162790697675</c:v>
                </c:pt>
                <c:pt idx="34">
                  <c:v>0.13636363636363635</c:v>
                </c:pt>
                <c:pt idx="35">
                  <c:v>0.12871287128712872</c:v>
                </c:pt>
                <c:pt idx="36">
                  <c:v>0.12406947890818859</c:v>
                </c:pt>
                <c:pt idx="37">
                  <c:v>0.10731707317073171</c:v>
                </c:pt>
                <c:pt idx="38">
                  <c:v>0.10666666666666667</c:v>
                </c:pt>
                <c:pt idx="39">
                  <c:v>9.1803278688524587E-2</c:v>
                </c:pt>
                <c:pt idx="40">
                  <c:v>6.9306930693069313E-2</c:v>
                </c:pt>
                <c:pt idx="41">
                  <c:v>6.25E-2</c:v>
                </c:pt>
              </c:numCache>
            </c:numRef>
          </c:val>
          <c:extLst>
            <c:ext xmlns:c16="http://schemas.microsoft.com/office/drawing/2014/chart" uri="{C3380CC4-5D6E-409C-BE32-E72D297353CC}">
              <c16:uniqueId val="{0000000E-5FC5-4CA2-8C38-DB4CD57CD349}"/>
            </c:ext>
          </c:extLst>
        </c:ser>
        <c:dLbls>
          <c:showLegendKey val="0"/>
          <c:showVal val="0"/>
          <c:showCatName val="0"/>
          <c:showSerName val="0"/>
          <c:showPercent val="0"/>
          <c:showBubbleSize val="0"/>
        </c:dLbls>
        <c:gapWidth val="150"/>
        <c:overlap val="-27"/>
        <c:axId val="92769503"/>
        <c:axId val="92770463"/>
      </c:barChart>
      <c:catAx>
        <c:axId val="92769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770463"/>
        <c:crosses val="autoZero"/>
        <c:auto val="0"/>
        <c:lblAlgn val="ctr"/>
        <c:lblOffset val="100"/>
        <c:tickLblSkip val="1"/>
        <c:noMultiLvlLbl val="0"/>
      </c:catAx>
      <c:valAx>
        <c:axId val="92770463"/>
        <c:scaling>
          <c:orientation val="minMax"/>
          <c:max val="0.35000000000000003"/>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769503"/>
        <c:crossesAt val="1"/>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5</cp:revision>
  <dcterms:created xsi:type="dcterms:W3CDTF">2024-12-31T12:25:00Z</dcterms:created>
  <dcterms:modified xsi:type="dcterms:W3CDTF">2025-01-27T09:57:00Z</dcterms:modified>
</cp:coreProperties>
</file>