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2667E" w14:textId="77777777" w:rsidR="00C17259" w:rsidRPr="003F031F" w:rsidRDefault="003F3042">
      <w:pPr>
        <w:rPr>
          <w:b/>
        </w:rPr>
      </w:pPr>
      <w:r w:rsidRPr="003F031F">
        <w:rPr>
          <w:b/>
        </w:rPr>
        <w:t>Residential Property</w:t>
      </w:r>
    </w:p>
    <w:p w14:paraId="2D22AA72" w14:textId="77777777" w:rsidR="00381E1E" w:rsidRPr="003F031F" w:rsidRDefault="008C3787">
      <w:r w:rsidRPr="003F031F">
        <w:t xml:space="preserve">The </w:t>
      </w:r>
      <w:r w:rsidR="003F3042" w:rsidRPr="003F031F">
        <w:t>Northern Ireland House Price Index</w:t>
      </w:r>
      <w:r w:rsidR="003F3042" w:rsidRPr="003F031F">
        <w:rPr>
          <w:rStyle w:val="FootnoteReference"/>
        </w:rPr>
        <w:footnoteReference w:id="1"/>
      </w:r>
      <w:r w:rsidR="003F3042" w:rsidRPr="003F031F">
        <w:t xml:space="preserve"> provides both a standardised price and property price index. The index reference period is Quarter 1 2015 which equals 100. This quarter is then used as a benchmark for other periods.</w:t>
      </w:r>
    </w:p>
    <w:p w14:paraId="25F19382" w14:textId="7C12BCFD" w:rsidR="00620D8C" w:rsidRDefault="003C13E3">
      <w:r w:rsidRPr="003F031F">
        <w:t xml:space="preserve">The standardised residential property price in Armagh City, Banbridge and Craigavon </w:t>
      </w:r>
      <w:r w:rsidR="00BA281D" w:rsidRPr="003F031F">
        <w:t xml:space="preserve">Borough in quarter </w:t>
      </w:r>
      <w:r w:rsidR="00D52E12">
        <w:t>3</w:t>
      </w:r>
      <w:r w:rsidR="004D3C20">
        <w:t xml:space="preserve"> </w:t>
      </w:r>
      <w:r w:rsidR="004A38AC" w:rsidRPr="003F031F">
        <w:t>of 202</w:t>
      </w:r>
      <w:r w:rsidR="00B740A0">
        <w:t>4</w:t>
      </w:r>
      <w:r w:rsidR="00BA281D" w:rsidRPr="003F031F">
        <w:t xml:space="preserve"> stood at £</w:t>
      </w:r>
      <w:r w:rsidR="00D52E12">
        <w:t>169,407</w:t>
      </w:r>
      <w:r w:rsidRPr="003F031F">
        <w:t xml:space="preserve">, </w:t>
      </w:r>
      <w:r w:rsidR="0002430D">
        <w:t>a</w:t>
      </w:r>
      <w:r w:rsidR="00B740A0">
        <w:t>n</w:t>
      </w:r>
      <w:r w:rsidR="00E119D6">
        <w:t xml:space="preserve"> </w:t>
      </w:r>
      <w:r w:rsidR="00B740A0">
        <w:t>in</w:t>
      </w:r>
      <w:r w:rsidR="00F7045A">
        <w:t xml:space="preserve">crease of </w:t>
      </w:r>
      <w:r w:rsidR="00D52E12">
        <w:t>1.8</w:t>
      </w:r>
      <w:r w:rsidR="00BA281D" w:rsidRPr="003F031F">
        <w:t xml:space="preserve">% on quarter </w:t>
      </w:r>
      <w:r w:rsidR="00D52E12">
        <w:t>2</w:t>
      </w:r>
      <w:r w:rsidR="00042D0A" w:rsidRPr="003F031F">
        <w:t xml:space="preserve"> </w:t>
      </w:r>
      <w:r w:rsidR="000F3377">
        <w:t>202</w:t>
      </w:r>
      <w:r w:rsidR="004D3C20">
        <w:t>4</w:t>
      </w:r>
      <w:r w:rsidR="00BA281D" w:rsidRPr="003F031F">
        <w:t xml:space="preserve"> (£</w:t>
      </w:r>
      <w:r w:rsidR="00D52E12">
        <w:t>166,424</w:t>
      </w:r>
      <w:r w:rsidRPr="003F031F">
        <w:t>).</w:t>
      </w:r>
      <w:r w:rsidR="00BA281D" w:rsidRPr="003F031F">
        <w:t xml:space="preserve"> </w:t>
      </w:r>
      <w:r w:rsidR="000F3377">
        <w:t xml:space="preserve"> </w:t>
      </w:r>
      <w:r w:rsidR="00A9289F">
        <w:t>The standardised residential property price in Northern Ireland overall was £</w:t>
      </w:r>
      <w:r w:rsidR="00D52E12">
        <w:t>190,553</w:t>
      </w:r>
      <w:r w:rsidR="00A9289F">
        <w:t xml:space="preserve"> in Q</w:t>
      </w:r>
      <w:r w:rsidR="00D52E12">
        <w:t xml:space="preserve">3 </w:t>
      </w:r>
      <w:r w:rsidR="00A9289F">
        <w:t>202</w:t>
      </w:r>
      <w:r w:rsidR="00B740A0">
        <w:t>4</w:t>
      </w:r>
      <w:r w:rsidR="005757B8" w:rsidRPr="003F031F">
        <w:rPr>
          <w:rStyle w:val="FootnoteReference"/>
        </w:rPr>
        <w:footnoteReference w:id="2"/>
      </w:r>
      <w:r w:rsidR="00A9289F">
        <w:t xml:space="preserve"> which is a</w:t>
      </w:r>
      <w:r w:rsidR="00B740A0">
        <w:t>n</w:t>
      </w:r>
      <w:r w:rsidR="00E119D6">
        <w:t xml:space="preserve"> </w:t>
      </w:r>
      <w:r w:rsidR="00B740A0">
        <w:t>in</w:t>
      </w:r>
      <w:r w:rsidR="00A9289F">
        <w:t xml:space="preserve">crease of </w:t>
      </w:r>
      <w:r w:rsidR="00D52E12">
        <w:t>2.8</w:t>
      </w:r>
      <w:r w:rsidR="00A9289F">
        <w:t>% since Q</w:t>
      </w:r>
      <w:r w:rsidR="00D52E12">
        <w:t>2</w:t>
      </w:r>
      <w:r w:rsidR="00A9289F">
        <w:t xml:space="preserve"> 202</w:t>
      </w:r>
      <w:r w:rsidR="004D3C20">
        <w:t>4</w:t>
      </w:r>
      <w:r w:rsidR="00BF4296" w:rsidRPr="003F031F">
        <w:t xml:space="preserve">. </w:t>
      </w:r>
      <w:r w:rsidR="00022000">
        <w:t xml:space="preserve"> </w:t>
      </w:r>
      <w:r w:rsidR="00A9289F">
        <w:t>In Q</w:t>
      </w:r>
      <w:r w:rsidR="00D52E12">
        <w:t>3</w:t>
      </w:r>
      <w:r w:rsidR="00A9289F">
        <w:t xml:space="preserve"> 202</w:t>
      </w:r>
      <w:r w:rsidR="00B740A0">
        <w:t>4</w:t>
      </w:r>
      <w:r w:rsidR="00A9289F">
        <w:t>,</w:t>
      </w:r>
      <w:r w:rsidR="00022000">
        <w:t xml:space="preserve"> Armagh City, Banbridge and Craigavon borough</w:t>
      </w:r>
      <w:r w:rsidR="00B740A0">
        <w:t xml:space="preserve"> had the </w:t>
      </w:r>
      <w:r w:rsidR="00B5562A" w:rsidRPr="003F031F">
        <w:t>lowest standardised house prices in Northern Ireland</w:t>
      </w:r>
      <w:r w:rsidR="00D52E12">
        <w:t>, just below</w:t>
      </w:r>
      <w:r w:rsidR="00B740A0">
        <w:t xml:space="preserve"> Derry City &amp; Strabane</w:t>
      </w:r>
      <w:r w:rsidR="00D52E12">
        <w:t xml:space="preserve"> at £169,866</w:t>
      </w:r>
      <w:r w:rsidR="00A9289F">
        <w:t xml:space="preserve">. </w:t>
      </w:r>
    </w:p>
    <w:tbl>
      <w:tblPr>
        <w:tblStyle w:val="GridTable1Light"/>
        <w:tblW w:w="8840" w:type="dxa"/>
        <w:tblLayout w:type="fixed"/>
        <w:tblLook w:val="04A0" w:firstRow="1" w:lastRow="0" w:firstColumn="1" w:lastColumn="0" w:noHBand="0" w:noVBand="1"/>
      </w:tblPr>
      <w:tblGrid>
        <w:gridCol w:w="1271"/>
        <w:gridCol w:w="1892"/>
        <w:gridCol w:w="1892"/>
        <w:gridCol w:w="1892"/>
        <w:gridCol w:w="1893"/>
      </w:tblGrid>
      <w:tr w:rsidR="00714950" w:rsidRPr="00714950" w14:paraId="72292E45" w14:textId="77777777" w:rsidTr="0071495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71" w:type="dxa"/>
            <w:hideMark/>
          </w:tcPr>
          <w:p w14:paraId="3FB4AFA1" w14:textId="77777777" w:rsidR="00714950" w:rsidRPr="00714950" w:rsidRDefault="00714950" w:rsidP="00714950">
            <w:pPr>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c>
          <w:tcPr>
            <w:tcW w:w="3784" w:type="dxa"/>
            <w:gridSpan w:val="2"/>
            <w:noWrap/>
            <w:hideMark/>
          </w:tcPr>
          <w:p w14:paraId="11C27F52" w14:textId="77777777" w:rsidR="00714950" w:rsidRPr="00714950" w:rsidRDefault="00714950" w:rsidP="0071495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14950">
              <w:rPr>
                <w:rFonts w:ascii="Calibri" w:eastAsia="Times New Roman" w:hAnsi="Calibri" w:cs="Calibri"/>
                <w:color w:val="000000"/>
                <w:lang w:eastAsia="en-GB"/>
              </w:rPr>
              <w:t>Armagh City, Banbridge and Craigavon</w:t>
            </w:r>
          </w:p>
        </w:tc>
        <w:tc>
          <w:tcPr>
            <w:tcW w:w="3785" w:type="dxa"/>
            <w:gridSpan w:val="2"/>
            <w:hideMark/>
          </w:tcPr>
          <w:p w14:paraId="6D9B195E" w14:textId="77777777" w:rsidR="00714950" w:rsidRPr="00714950" w:rsidRDefault="00714950" w:rsidP="0071495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14950">
              <w:rPr>
                <w:rFonts w:ascii="Calibri" w:eastAsia="Times New Roman" w:hAnsi="Calibri" w:cs="Calibri"/>
                <w:color w:val="000000"/>
                <w:lang w:eastAsia="en-GB"/>
              </w:rPr>
              <w:t>Northern Ireland</w:t>
            </w:r>
          </w:p>
        </w:tc>
      </w:tr>
      <w:tr w:rsidR="00714950" w:rsidRPr="00714950" w14:paraId="5A6A073D"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hideMark/>
          </w:tcPr>
          <w:p w14:paraId="30E10879" w14:textId="77777777" w:rsidR="00714950" w:rsidRPr="00714950" w:rsidRDefault="00714950" w:rsidP="00714950">
            <w:pPr>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c>
          <w:tcPr>
            <w:tcW w:w="1892" w:type="dxa"/>
            <w:noWrap/>
            <w:hideMark/>
          </w:tcPr>
          <w:p w14:paraId="440EEA17"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714950">
              <w:rPr>
                <w:rFonts w:ascii="Calibri" w:eastAsia="Times New Roman" w:hAnsi="Calibri" w:cs="Calibri"/>
                <w:b/>
                <w:bCs/>
                <w:color w:val="000000"/>
                <w:lang w:eastAsia="en-GB"/>
              </w:rPr>
              <w:t>Standardised Price</w:t>
            </w:r>
          </w:p>
        </w:tc>
        <w:tc>
          <w:tcPr>
            <w:tcW w:w="1892" w:type="dxa"/>
            <w:hideMark/>
          </w:tcPr>
          <w:p w14:paraId="0B374FEC"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714950">
              <w:rPr>
                <w:rFonts w:ascii="Calibri" w:eastAsia="Times New Roman" w:hAnsi="Calibri" w:cs="Calibri"/>
                <w:b/>
                <w:bCs/>
                <w:color w:val="000000"/>
                <w:lang w:eastAsia="en-GB"/>
              </w:rPr>
              <w:t>House Price Index</w:t>
            </w:r>
          </w:p>
        </w:tc>
        <w:tc>
          <w:tcPr>
            <w:tcW w:w="1892" w:type="dxa"/>
            <w:hideMark/>
          </w:tcPr>
          <w:p w14:paraId="6401C2DC"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714950">
              <w:rPr>
                <w:rFonts w:ascii="Calibri" w:eastAsia="Times New Roman" w:hAnsi="Calibri" w:cs="Calibri"/>
                <w:b/>
                <w:bCs/>
                <w:color w:val="000000"/>
                <w:lang w:eastAsia="en-GB"/>
              </w:rPr>
              <w:t>Standardised Price</w:t>
            </w:r>
          </w:p>
        </w:tc>
        <w:tc>
          <w:tcPr>
            <w:tcW w:w="1893" w:type="dxa"/>
            <w:hideMark/>
          </w:tcPr>
          <w:p w14:paraId="329D5F9E"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714950">
              <w:rPr>
                <w:rFonts w:ascii="Calibri" w:eastAsia="Times New Roman" w:hAnsi="Calibri" w:cs="Calibri"/>
                <w:b/>
                <w:bCs/>
                <w:color w:val="000000"/>
                <w:lang w:eastAsia="en-GB"/>
              </w:rPr>
              <w:t>House Price Index</w:t>
            </w:r>
          </w:p>
        </w:tc>
      </w:tr>
      <w:tr w:rsidR="00714950" w:rsidRPr="00714950" w14:paraId="5AF29206"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30A49D02"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2015 – Q1</w:t>
            </w:r>
          </w:p>
        </w:tc>
        <w:tc>
          <w:tcPr>
            <w:tcW w:w="1892" w:type="dxa"/>
            <w:noWrap/>
            <w:hideMark/>
          </w:tcPr>
          <w:p w14:paraId="36281425"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£98,572</w:t>
            </w:r>
          </w:p>
        </w:tc>
        <w:tc>
          <w:tcPr>
            <w:tcW w:w="1892" w:type="dxa"/>
            <w:noWrap/>
            <w:hideMark/>
          </w:tcPr>
          <w:p w14:paraId="3A998EAE"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100.0</w:t>
            </w:r>
          </w:p>
        </w:tc>
        <w:tc>
          <w:tcPr>
            <w:tcW w:w="1892" w:type="dxa"/>
            <w:noWrap/>
            <w:hideMark/>
          </w:tcPr>
          <w:p w14:paraId="30038EBD"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£110,940</w:t>
            </w:r>
          </w:p>
        </w:tc>
        <w:tc>
          <w:tcPr>
            <w:tcW w:w="1893" w:type="dxa"/>
            <w:noWrap/>
            <w:hideMark/>
          </w:tcPr>
          <w:p w14:paraId="1387C739"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100.0</w:t>
            </w:r>
          </w:p>
        </w:tc>
      </w:tr>
      <w:tr w:rsidR="00714950" w:rsidRPr="00714950" w14:paraId="11F43011"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26D8D27D"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2015 – Q2</w:t>
            </w:r>
          </w:p>
        </w:tc>
        <w:tc>
          <w:tcPr>
            <w:tcW w:w="1892" w:type="dxa"/>
            <w:noWrap/>
            <w:hideMark/>
          </w:tcPr>
          <w:p w14:paraId="670FC4DF"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£100,809</w:t>
            </w:r>
          </w:p>
        </w:tc>
        <w:tc>
          <w:tcPr>
            <w:tcW w:w="1892" w:type="dxa"/>
            <w:noWrap/>
            <w:hideMark/>
          </w:tcPr>
          <w:p w14:paraId="63009971"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102.3</w:t>
            </w:r>
          </w:p>
        </w:tc>
        <w:tc>
          <w:tcPr>
            <w:tcW w:w="1892" w:type="dxa"/>
            <w:noWrap/>
            <w:hideMark/>
          </w:tcPr>
          <w:p w14:paraId="290B7C9D"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£114,340</w:t>
            </w:r>
          </w:p>
        </w:tc>
        <w:tc>
          <w:tcPr>
            <w:tcW w:w="1893" w:type="dxa"/>
            <w:noWrap/>
            <w:hideMark/>
          </w:tcPr>
          <w:p w14:paraId="38B8507A"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103.1</w:t>
            </w:r>
          </w:p>
        </w:tc>
      </w:tr>
      <w:tr w:rsidR="00714950" w:rsidRPr="00714950" w14:paraId="1A7539EE"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5FE4A430"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2015 – Q3</w:t>
            </w:r>
          </w:p>
        </w:tc>
        <w:tc>
          <w:tcPr>
            <w:tcW w:w="1892" w:type="dxa"/>
            <w:noWrap/>
            <w:hideMark/>
          </w:tcPr>
          <w:p w14:paraId="617B9F20"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£104,149</w:t>
            </w:r>
          </w:p>
        </w:tc>
        <w:tc>
          <w:tcPr>
            <w:tcW w:w="1892" w:type="dxa"/>
            <w:noWrap/>
            <w:hideMark/>
          </w:tcPr>
          <w:p w14:paraId="5E9478B9"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105.7</w:t>
            </w:r>
          </w:p>
        </w:tc>
        <w:tc>
          <w:tcPr>
            <w:tcW w:w="1892" w:type="dxa"/>
            <w:noWrap/>
            <w:hideMark/>
          </w:tcPr>
          <w:p w14:paraId="00E832D8"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£117,716</w:t>
            </w:r>
          </w:p>
        </w:tc>
        <w:tc>
          <w:tcPr>
            <w:tcW w:w="1893" w:type="dxa"/>
            <w:noWrap/>
            <w:hideMark/>
          </w:tcPr>
          <w:p w14:paraId="66F32F94"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106.1</w:t>
            </w:r>
          </w:p>
        </w:tc>
      </w:tr>
      <w:tr w:rsidR="00714950" w:rsidRPr="00714950" w14:paraId="7DD9C6ED"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1E3C1363"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2015 – Q4</w:t>
            </w:r>
          </w:p>
        </w:tc>
        <w:tc>
          <w:tcPr>
            <w:tcW w:w="1892" w:type="dxa"/>
            <w:noWrap/>
            <w:hideMark/>
          </w:tcPr>
          <w:p w14:paraId="01C09216"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£106,688</w:t>
            </w:r>
          </w:p>
        </w:tc>
        <w:tc>
          <w:tcPr>
            <w:tcW w:w="1892" w:type="dxa"/>
            <w:noWrap/>
            <w:hideMark/>
          </w:tcPr>
          <w:p w14:paraId="53B116A8"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108.2</w:t>
            </w:r>
          </w:p>
        </w:tc>
        <w:tc>
          <w:tcPr>
            <w:tcW w:w="1892" w:type="dxa"/>
            <w:noWrap/>
            <w:hideMark/>
          </w:tcPr>
          <w:p w14:paraId="4BBEFB82"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£118,756</w:t>
            </w:r>
          </w:p>
        </w:tc>
        <w:tc>
          <w:tcPr>
            <w:tcW w:w="1893" w:type="dxa"/>
            <w:noWrap/>
            <w:hideMark/>
          </w:tcPr>
          <w:p w14:paraId="78C377D9"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107.0</w:t>
            </w:r>
          </w:p>
        </w:tc>
      </w:tr>
      <w:tr w:rsidR="00714950" w:rsidRPr="00714950" w14:paraId="39D41564"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26B15F1F"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c>
          <w:tcPr>
            <w:tcW w:w="1892" w:type="dxa"/>
            <w:noWrap/>
            <w:hideMark/>
          </w:tcPr>
          <w:p w14:paraId="7D9AE6D3"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 </w:t>
            </w:r>
          </w:p>
        </w:tc>
        <w:tc>
          <w:tcPr>
            <w:tcW w:w="1892" w:type="dxa"/>
            <w:noWrap/>
            <w:hideMark/>
          </w:tcPr>
          <w:p w14:paraId="3A962031"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 </w:t>
            </w:r>
          </w:p>
        </w:tc>
        <w:tc>
          <w:tcPr>
            <w:tcW w:w="1892" w:type="dxa"/>
            <w:noWrap/>
            <w:hideMark/>
          </w:tcPr>
          <w:p w14:paraId="2C5DD53D"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c>
          <w:tcPr>
            <w:tcW w:w="1893" w:type="dxa"/>
            <w:noWrap/>
            <w:hideMark/>
          </w:tcPr>
          <w:p w14:paraId="26CA4C0B"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r>
      <w:tr w:rsidR="00714950" w:rsidRPr="00714950" w14:paraId="4D5D12DC"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18457D8A"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2016 – Q1</w:t>
            </w:r>
          </w:p>
        </w:tc>
        <w:tc>
          <w:tcPr>
            <w:tcW w:w="1892" w:type="dxa"/>
            <w:noWrap/>
            <w:hideMark/>
          </w:tcPr>
          <w:p w14:paraId="3CEDD34D"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£107,699</w:t>
            </w:r>
          </w:p>
        </w:tc>
        <w:tc>
          <w:tcPr>
            <w:tcW w:w="1892" w:type="dxa"/>
            <w:noWrap/>
            <w:hideMark/>
          </w:tcPr>
          <w:p w14:paraId="0AD00558"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109.3</w:t>
            </w:r>
          </w:p>
        </w:tc>
        <w:tc>
          <w:tcPr>
            <w:tcW w:w="1892" w:type="dxa"/>
            <w:noWrap/>
            <w:hideMark/>
          </w:tcPr>
          <w:p w14:paraId="6969C8AC"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£118,851</w:t>
            </w:r>
          </w:p>
        </w:tc>
        <w:tc>
          <w:tcPr>
            <w:tcW w:w="1893" w:type="dxa"/>
            <w:noWrap/>
            <w:hideMark/>
          </w:tcPr>
          <w:p w14:paraId="1A44682C"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107.1</w:t>
            </w:r>
          </w:p>
        </w:tc>
      </w:tr>
      <w:tr w:rsidR="00714950" w:rsidRPr="00714950" w14:paraId="2561CD89"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06A96894"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2016 – Q2</w:t>
            </w:r>
          </w:p>
        </w:tc>
        <w:tc>
          <w:tcPr>
            <w:tcW w:w="1892" w:type="dxa"/>
            <w:noWrap/>
            <w:hideMark/>
          </w:tcPr>
          <w:p w14:paraId="2C1DA366"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£111,344</w:t>
            </w:r>
          </w:p>
        </w:tc>
        <w:tc>
          <w:tcPr>
            <w:tcW w:w="1892" w:type="dxa"/>
            <w:noWrap/>
            <w:hideMark/>
          </w:tcPr>
          <w:p w14:paraId="08124B49"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113.0</w:t>
            </w:r>
          </w:p>
        </w:tc>
        <w:tc>
          <w:tcPr>
            <w:tcW w:w="1892" w:type="dxa"/>
            <w:noWrap/>
            <w:hideMark/>
          </w:tcPr>
          <w:p w14:paraId="40DEF115"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£123,249</w:t>
            </w:r>
          </w:p>
        </w:tc>
        <w:tc>
          <w:tcPr>
            <w:tcW w:w="1893" w:type="dxa"/>
            <w:noWrap/>
            <w:hideMark/>
          </w:tcPr>
          <w:p w14:paraId="43D389FF"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111.1</w:t>
            </w:r>
          </w:p>
        </w:tc>
      </w:tr>
      <w:tr w:rsidR="00714950" w:rsidRPr="00714950" w14:paraId="799E70C9"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3416C8B4"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2016 – Q3</w:t>
            </w:r>
          </w:p>
        </w:tc>
        <w:tc>
          <w:tcPr>
            <w:tcW w:w="1892" w:type="dxa"/>
            <w:noWrap/>
            <w:hideMark/>
          </w:tcPr>
          <w:p w14:paraId="691E6340"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£110,290</w:t>
            </w:r>
          </w:p>
        </w:tc>
        <w:tc>
          <w:tcPr>
            <w:tcW w:w="1892" w:type="dxa"/>
            <w:noWrap/>
            <w:hideMark/>
          </w:tcPr>
          <w:p w14:paraId="4DD2817D"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111.9</w:t>
            </w:r>
          </w:p>
        </w:tc>
        <w:tc>
          <w:tcPr>
            <w:tcW w:w="1892" w:type="dxa"/>
            <w:noWrap/>
            <w:hideMark/>
          </w:tcPr>
          <w:p w14:paraId="1FBE8030"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£124,731</w:t>
            </w:r>
          </w:p>
        </w:tc>
        <w:tc>
          <w:tcPr>
            <w:tcW w:w="1893" w:type="dxa"/>
            <w:noWrap/>
            <w:hideMark/>
          </w:tcPr>
          <w:p w14:paraId="6A487ADD"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112.4</w:t>
            </w:r>
          </w:p>
        </w:tc>
      </w:tr>
      <w:tr w:rsidR="00714950" w:rsidRPr="00714950" w14:paraId="4E3743CF"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4E59BC90"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2016 – Q4</w:t>
            </w:r>
          </w:p>
        </w:tc>
        <w:tc>
          <w:tcPr>
            <w:tcW w:w="1892" w:type="dxa"/>
            <w:noWrap/>
            <w:hideMark/>
          </w:tcPr>
          <w:p w14:paraId="63A3CFBB"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£111,384</w:t>
            </w:r>
          </w:p>
        </w:tc>
        <w:tc>
          <w:tcPr>
            <w:tcW w:w="1892" w:type="dxa"/>
            <w:noWrap/>
            <w:hideMark/>
          </w:tcPr>
          <w:p w14:paraId="1E651699"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113.0</w:t>
            </w:r>
          </w:p>
        </w:tc>
        <w:tc>
          <w:tcPr>
            <w:tcW w:w="1892" w:type="dxa"/>
            <w:noWrap/>
            <w:hideMark/>
          </w:tcPr>
          <w:p w14:paraId="2720A102"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£125,059</w:t>
            </w:r>
          </w:p>
        </w:tc>
        <w:tc>
          <w:tcPr>
            <w:tcW w:w="1893" w:type="dxa"/>
            <w:noWrap/>
            <w:hideMark/>
          </w:tcPr>
          <w:p w14:paraId="29CD90C3"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112.7</w:t>
            </w:r>
          </w:p>
        </w:tc>
      </w:tr>
      <w:tr w:rsidR="00714950" w:rsidRPr="00714950" w14:paraId="2669CB9A"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3931342A"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c>
          <w:tcPr>
            <w:tcW w:w="1892" w:type="dxa"/>
            <w:noWrap/>
            <w:hideMark/>
          </w:tcPr>
          <w:p w14:paraId="2FAB128A"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 </w:t>
            </w:r>
          </w:p>
        </w:tc>
        <w:tc>
          <w:tcPr>
            <w:tcW w:w="1892" w:type="dxa"/>
            <w:noWrap/>
            <w:hideMark/>
          </w:tcPr>
          <w:p w14:paraId="50F30575"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 </w:t>
            </w:r>
          </w:p>
        </w:tc>
        <w:tc>
          <w:tcPr>
            <w:tcW w:w="1892" w:type="dxa"/>
            <w:noWrap/>
            <w:hideMark/>
          </w:tcPr>
          <w:p w14:paraId="162544BB"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c>
          <w:tcPr>
            <w:tcW w:w="1893" w:type="dxa"/>
            <w:noWrap/>
            <w:hideMark/>
          </w:tcPr>
          <w:p w14:paraId="2ECA6AA3"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r>
      <w:tr w:rsidR="00714950" w:rsidRPr="00714950" w14:paraId="548A8FDD"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43B4AB5C"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2017 – Q1</w:t>
            </w:r>
          </w:p>
        </w:tc>
        <w:tc>
          <w:tcPr>
            <w:tcW w:w="1892" w:type="dxa"/>
            <w:noWrap/>
            <w:hideMark/>
          </w:tcPr>
          <w:p w14:paraId="051ECF27"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£113,867</w:t>
            </w:r>
          </w:p>
        </w:tc>
        <w:tc>
          <w:tcPr>
            <w:tcW w:w="1892" w:type="dxa"/>
            <w:noWrap/>
            <w:hideMark/>
          </w:tcPr>
          <w:p w14:paraId="09FDBFC5"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115.5</w:t>
            </w:r>
          </w:p>
        </w:tc>
        <w:tc>
          <w:tcPr>
            <w:tcW w:w="1892" w:type="dxa"/>
            <w:noWrap/>
            <w:hideMark/>
          </w:tcPr>
          <w:p w14:paraId="66B2AFAC"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£124,786</w:t>
            </w:r>
          </w:p>
        </w:tc>
        <w:tc>
          <w:tcPr>
            <w:tcW w:w="1893" w:type="dxa"/>
            <w:noWrap/>
            <w:hideMark/>
          </w:tcPr>
          <w:p w14:paraId="700A41C8"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112.5</w:t>
            </w:r>
          </w:p>
        </w:tc>
      </w:tr>
      <w:tr w:rsidR="00714950" w:rsidRPr="00714950" w14:paraId="0454A149"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62BDF503"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2017 – Q2</w:t>
            </w:r>
          </w:p>
        </w:tc>
        <w:tc>
          <w:tcPr>
            <w:tcW w:w="1892" w:type="dxa"/>
            <w:noWrap/>
            <w:hideMark/>
          </w:tcPr>
          <w:p w14:paraId="2C6D6B3A"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£113,596</w:t>
            </w:r>
          </w:p>
        </w:tc>
        <w:tc>
          <w:tcPr>
            <w:tcW w:w="1892" w:type="dxa"/>
            <w:noWrap/>
            <w:hideMark/>
          </w:tcPr>
          <w:p w14:paraId="7CB76290"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115.2</w:t>
            </w:r>
          </w:p>
        </w:tc>
        <w:tc>
          <w:tcPr>
            <w:tcW w:w="1892" w:type="dxa"/>
            <w:noWrap/>
            <w:hideMark/>
          </w:tcPr>
          <w:p w14:paraId="224D2DFE"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£127,178</w:t>
            </w:r>
          </w:p>
        </w:tc>
        <w:tc>
          <w:tcPr>
            <w:tcW w:w="1893" w:type="dxa"/>
            <w:noWrap/>
            <w:hideMark/>
          </w:tcPr>
          <w:p w14:paraId="05EA3089"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114.6</w:t>
            </w:r>
          </w:p>
        </w:tc>
      </w:tr>
      <w:tr w:rsidR="00714950" w:rsidRPr="00714950" w14:paraId="0B77669F"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3DBC12C2"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2017 – Q3</w:t>
            </w:r>
          </w:p>
        </w:tc>
        <w:tc>
          <w:tcPr>
            <w:tcW w:w="1892" w:type="dxa"/>
            <w:noWrap/>
            <w:hideMark/>
          </w:tcPr>
          <w:p w14:paraId="732880E1"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£114,181</w:t>
            </w:r>
          </w:p>
        </w:tc>
        <w:tc>
          <w:tcPr>
            <w:tcW w:w="1892" w:type="dxa"/>
            <w:noWrap/>
            <w:hideMark/>
          </w:tcPr>
          <w:p w14:paraId="73E520DC"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115.8</w:t>
            </w:r>
          </w:p>
        </w:tc>
        <w:tc>
          <w:tcPr>
            <w:tcW w:w="1892" w:type="dxa"/>
            <w:noWrap/>
            <w:hideMark/>
          </w:tcPr>
          <w:p w14:paraId="382A9221"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£128,878</w:t>
            </w:r>
          </w:p>
        </w:tc>
        <w:tc>
          <w:tcPr>
            <w:tcW w:w="1893" w:type="dxa"/>
            <w:noWrap/>
            <w:hideMark/>
          </w:tcPr>
          <w:p w14:paraId="5434DFB8"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116.2</w:t>
            </w:r>
          </w:p>
        </w:tc>
      </w:tr>
      <w:tr w:rsidR="00714950" w:rsidRPr="00714950" w14:paraId="22574DA6"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7EA88DE4"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2017 – Q4</w:t>
            </w:r>
          </w:p>
        </w:tc>
        <w:tc>
          <w:tcPr>
            <w:tcW w:w="1892" w:type="dxa"/>
            <w:noWrap/>
            <w:hideMark/>
          </w:tcPr>
          <w:p w14:paraId="23586382"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£116,312</w:t>
            </w:r>
          </w:p>
        </w:tc>
        <w:tc>
          <w:tcPr>
            <w:tcW w:w="1892" w:type="dxa"/>
            <w:noWrap/>
            <w:hideMark/>
          </w:tcPr>
          <w:p w14:paraId="10EE397D"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118.0</w:t>
            </w:r>
          </w:p>
        </w:tc>
        <w:tc>
          <w:tcPr>
            <w:tcW w:w="1892" w:type="dxa"/>
            <w:noWrap/>
            <w:hideMark/>
          </w:tcPr>
          <w:p w14:paraId="1E2019EC"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£129,601</w:t>
            </w:r>
          </w:p>
        </w:tc>
        <w:tc>
          <w:tcPr>
            <w:tcW w:w="1893" w:type="dxa"/>
            <w:noWrap/>
            <w:hideMark/>
          </w:tcPr>
          <w:p w14:paraId="508F3E56"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116.8</w:t>
            </w:r>
          </w:p>
        </w:tc>
      </w:tr>
      <w:tr w:rsidR="00714950" w:rsidRPr="00714950" w14:paraId="3B76E4F7"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0A4A9C12"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c>
          <w:tcPr>
            <w:tcW w:w="1892" w:type="dxa"/>
            <w:noWrap/>
            <w:hideMark/>
          </w:tcPr>
          <w:p w14:paraId="6B520BF1"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 </w:t>
            </w:r>
          </w:p>
        </w:tc>
        <w:tc>
          <w:tcPr>
            <w:tcW w:w="1892" w:type="dxa"/>
            <w:noWrap/>
            <w:hideMark/>
          </w:tcPr>
          <w:p w14:paraId="45A11F9A"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 </w:t>
            </w:r>
          </w:p>
        </w:tc>
        <w:tc>
          <w:tcPr>
            <w:tcW w:w="1892" w:type="dxa"/>
            <w:noWrap/>
            <w:hideMark/>
          </w:tcPr>
          <w:p w14:paraId="514624F2"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c>
          <w:tcPr>
            <w:tcW w:w="1893" w:type="dxa"/>
            <w:noWrap/>
            <w:hideMark/>
          </w:tcPr>
          <w:p w14:paraId="0B043521"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r>
      <w:tr w:rsidR="00714950" w:rsidRPr="00714950" w14:paraId="07E436C8"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5B3AB77D"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2018 – Q1</w:t>
            </w:r>
          </w:p>
        </w:tc>
        <w:tc>
          <w:tcPr>
            <w:tcW w:w="1892" w:type="dxa"/>
            <w:noWrap/>
            <w:hideMark/>
          </w:tcPr>
          <w:p w14:paraId="769E157E"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£116,042</w:t>
            </w:r>
          </w:p>
        </w:tc>
        <w:tc>
          <w:tcPr>
            <w:tcW w:w="1892" w:type="dxa"/>
            <w:noWrap/>
            <w:hideMark/>
          </w:tcPr>
          <w:p w14:paraId="29AB6FDF"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117.7</w:t>
            </w:r>
          </w:p>
        </w:tc>
        <w:tc>
          <w:tcPr>
            <w:tcW w:w="1892" w:type="dxa"/>
            <w:noWrap/>
            <w:hideMark/>
          </w:tcPr>
          <w:p w14:paraId="30EF8379"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£130,292</w:t>
            </w:r>
          </w:p>
        </w:tc>
        <w:tc>
          <w:tcPr>
            <w:tcW w:w="1893" w:type="dxa"/>
            <w:noWrap/>
            <w:hideMark/>
          </w:tcPr>
          <w:p w14:paraId="6F937B0B"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117.4</w:t>
            </w:r>
          </w:p>
        </w:tc>
      </w:tr>
      <w:tr w:rsidR="00714950" w:rsidRPr="00714950" w14:paraId="73554E7F"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59164BC7"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2018 – Q2</w:t>
            </w:r>
          </w:p>
        </w:tc>
        <w:tc>
          <w:tcPr>
            <w:tcW w:w="1892" w:type="dxa"/>
            <w:noWrap/>
            <w:hideMark/>
          </w:tcPr>
          <w:p w14:paraId="4766092E"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£117,042</w:t>
            </w:r>
          </w:p>
        </w:tc>
        <w:tc>
          <w:tcPr>
            <w:tcW w:w="1892" w:type="dxa"/>
            <w:noWrap/>
            <w:hideMark/>
          </w:tcPr>
          <w:p w14:paraId="307AF52A"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118.7</w:t>
            </w:r>
          </w:p>
        </w:tc>
        <w:tc>
          <w:tcPr>
            <w:tcW w:w="1892" w:type="dxa"/>
            <w:noWrap/>
            <w:hideMark/>
          </w:tcPr>
          <w:p w14:paraId="781C22B9"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£132,095</w:t>
            </w:r>
          </w:p>
        </w:tc>
        <w:tc>
          <w:tcPr>
            <w:tcW w:w="1893" w:type="dxa"/>
            <w:noWrap/>
            <w:hideMark/>
          </w:tcPr>
          <w:p w14:paraId="6A6D0492"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119.1</w:t>
            </w:r>
          </w:p>
        </w:tc>
      </w:tr>
      <w:tr w:rsidR="00714950" w:rsidRPr="00714950" w14:paraId="0CE2012F"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2AB148D6"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2018 – Q3</w:t>
            </w:r>
          </w:p>
        </w:tc>
        <w:tc>
          <w:tcPr>
            <w:tcW w:w="1892" w:type="dxa"/>
            <w:noWrap/>
            <w:hideMark/>
          </w:tcPr>
          <w:p w14:paraId="6E440664"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£116,741</w:t>
            </w:r>
          </w:p>
        </w:tc>
        <w:tc>
          <w:tcPr>
            <w:tcW w:w="1892" w:type="dxa"/>
            <w:noWrap/>
            <w:hideMark/>
          </w:tcPr>
          <w:p w14:paraId="42B62390"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118.4</w:t>
            </w:r>
          </w:p>
        </w:tc>
        <w:tc>
          <w:tcPr>
            <w:tcW w:w="1892" w:type="dxa"/>
            <w:noWrap/>
            <w:hideMark/>
          </w:tcPr>
          <w:p w14:paraId="607F2141"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£134,619</w:t>
            </w:r>
          </w:p>
        </w:tc>
        <w:tc>
          <w:tcPr>
            <w:tcW w:w="1893" w:type="dxa"/>
            <w:noWrap/>
            <w:hideMark/>
          </w:tcPr>
          <w:p w14:paraId="082BA192"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121.3</w:t>
            </w:r>
          </w:p>
        </w:tc>
      </w:tr>
      <w:tr w:rsidR="00714950" w:rsidRPr="00714950" w14:paraId="160A5C78"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555422D1"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2018 – Q4</w:t>
            </w:r>
          </w:p>
        </w:tc>
        <w:tc>
          <w:tcPr>
            <w:tcW w:w="1892" w:type="dxa"/>
            <w:noWrap/>
            <w:hideMark/>
          </w:tcPr>
          <w:p w14:paraId="17C8955A"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£119,929</w:t>
            </w:r>
          </w:p>
        </w:tc>
        <w:tc>
          <w:tcPr>
            <w:tcW w:w="1892" w:type="dxa"/>
            <w:noWrap/>
            <w:hideMark/>
          </w:tcPr>
          <w:p w14:paraId="051666FB"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121.7</w:t>
            </w:r>
          </w:p>
        </w:tc>
        <w:tc>
          <w:tcPr>
            <w:tcW w:w="1892" w:type="dxa"/>
            <w:noWrap/>
            <w:hideMark/>
          </w:tcPr>
          <w:p w14:paraId="47795106"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£136,764</w:t>
            </w:r>
          </w:p>
        </w:tc>
        <w:tc>
          <w:tcPr>
            <w:tcW w:w="1893" w:type="dxa"/>
            <w:noWrap/>
            <w:hideMark/>
          </w:tcPr>
          <w:p w14:paraId="1426229B"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123.3</w:t>
            </w:r>
          </w:p>
        </w:tc>
      </w:tr>
      <w:tr w:rsidR="00714950" w:rsidRPr="00714950" w14:paraId="56F66560"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268A1800"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c>
          <w:tcPr>
            <w:tcW w:w="1892" w:type="dxa"/>
            <w:noWrap/>
            <w:hideMark/>
          </w:tcPr>
          <w:p w14:paraId="1AC77884"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 </w:t>
            </w:r>
          </w:p>
        </w:tc>
        <w:tc>
          <w:tcPr>
            <w:tcW w:w="1892" w:type="dxa"/>
            <w:noWrap/>
            <w:hideMark/>
          </w:tcPr>
          <w:p w14:paraId="7167227D"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 </w:t>
            </w:r>
          </w:p>
        </w:tc>
        <w:tc>
          <w:tcPr>
            <w:tcW w:w="1892" w:type="dxa"/>
            <w:noWrap/>
            <w:hideMark/>
          </w:tcPr>
          <w:p w14:paraId="1CA2FAA4"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c>
          <w:tcPr>
            <w:tcW w:w="1893" w:type="dxa"/>
            <w:noWrap/>
            <w:hideMark/>
          </w:tcPr>
          <w:p w14:paraId="33762857"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r>
      <w:tr w:rsidR="00714950" w:rsidRPr="00714950" w14:paraId="19D959DF"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459BF090"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2019 – Q1</w:t>
            </w:r>
          </w:p>
        </w:tc>
        <w:tc>
          <w:tcPr>
            <w:tcW w:w="1892" w:type="dxa"/>
            <w:noWrap/>
            <w:hideMark/>
          </w:tcPr>
          <w:p w14:paraId="0A68923E"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£120,820</w:t>
            </w:r>
          </w:p>
        </w:tc>
        <w:tc>
          <w:tcPr>
            <w:tcW w:w="1892" w:type="dxa"/>
            <w:noWrap/>
            <w:hideMark/>
          </w:tcPr>
          <w:p w14:paraId="68BF0467"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122.6</w:t>
            </w:r>
          </w:p>
        </w:tc>
        <w:tc>
          <w:tcPr>
            <w:tcW w:w="1892" w:type="dxa"/>
            <w:noWrap/>
            <w:hideMark/>
          </w:tcPr>
          <w:p w14:paraId="0318BFE2"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£135,434</w:t>
            </w:r>
          </w:p>
        </w:tc>
        <w:tc>
          <w:tcPr>
            <w:tcW w:w="1893" w:type="dxa"/>
            <w:noWrap/>
            <w:hideMark/>
          </w:tcPr>
          <w:p w14:paraId="6785FA1F"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122.1</w:t>
            </w:r>
          </w:p>
        </w:tc>
      </w:tr>
      <w:tr w:rsidR="00714950" w:rsidRPr="00714950" w14:paraId="33BBE92D"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42598BFD"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2019 – Q2</w:t>
            </w:r>
          </w:p>
        </w:tc>
        <w:tc>
          <w:tcPr>
            <w:tcW w:w="1892" w:type="dxa"/>
            <w:noWrap/>
            <w:hideMark/>
          </w:tcPr>
          <w:p w14:paraId="005C49CC"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£119,928</w:t>
            </w:r>
          </w:p>
        </w:tc>
        <w:tc>
          <w:tcPr>
            <w:tcW w:w="1892" w:type="dxa"/>
            <w:noWrap/>
            <w:hideMark/>
          </w:tcPr>
          <w:p w14:paraId="6F87C543"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121.7</w:t>
            </w:r>
          </w:p>
        </w:tc>
        <w:tc>
          <w:tcPr>
            <w:tcW w:w="1892" w:type="dxa"/>
            <w:noWrap/>
            <w:hideMark/>
          </w:tcPr>
          <w:p w14:paraId="46A79759"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£136,960</w:t>
            </w:r>
          </w:p>
        </w:tc>
        <w:tc>
          <w:tcPr>
            <w:tcW w:w="1893" w:type="dxa"/>
            <w:noWrap/>
            <w:hideMark/>
          </w:tcPr>
          <w:p w14:paraId="26660AE0"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123.5</w:t>
            </w:r>
          </w:p>
        </w:tc>
      </w:tr>
      <w:tr w:rsidR="00714950" w:rsidRPr="00714950" w14:paraId="7382F865"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4AED26DC"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2019 – Q3</w:t>
            </w:r>
          </w:p>
        </w:tc>
        <w:tc>
          <w:tcPr>
            <w:tcW w:w="1892" w:type="dxa"/>
            <w:noWrap/>
            <w:hideMark/>
          </w:tcPr>
          <w:p w14:paraId="06F892A7"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£124,268</w:t>
            </w:r>
          </w:p>
        </w:tc>
        <w:tc>
          <w:tcPr>
            <w:tcW w:w="1892" w:type="dxa"/>
            <w:noWrap/>
            <w:hideMark/>
          </w:tcPr>
          <w:p w14:paraId="091EC426"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126.1</w:t>
            </w:r>
          </w:p>
        </w:tc>
        <w:tc>
          <w:tcPr>
            <w:tcW w:w="1892" w:type="dxa"/>
            <w:noWrap/>
            <w:hideMark/>
          </w:tcPr>
          <w:p w14:paraId="7C57911C"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£139,838</w:t>
            </w:r>
          </w:p>
        </w:tc>
        <w:tc>
          <w:tcPr>
            <w:tcW w:w="1893" w:type="dxa"/>
            <w:noWrap/>
            <w:hideMark/>
          </w:tcPr>
          <w:p w14:paraId="4666DEED"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126.0</w:t>
            </w:r>
          </w:p>
        </w:tc>
      </w:tr>
      <w:tr w:rsidR="00714950" w:rsidRPr="00714950" w14:paraId="58B2ADE2"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028033C8"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2019 – Q4</w:t>
            </w:r>
          </w:p>
        </w:tc>
        <w:tc>
          <w:tcPr>
            <w:tcW w:w="1892" w:type="dxa"/>
            <w:noWrap/>
            <w:hideMark/>
          </w:tcPr>
          <w:p w14:paraId="0B4F2127"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£124,039</w:t>
            </w:r>
          </w:p>
        </w:tc>
        <w:tc>
          <w:tcPr>
            <w:tcW w:w="1892" w:type="dxa"/>
            <w:noWrap/>
            <w:hideMark/>
          </w:tcPr>
          <w:p w14:paraId="75B79010"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125.8</w:t>
            </w:r>
          </w:p>
        </w:tc>
        <w:tc>
          <w:tcPr>
            <w:tcW w:w="1892" w:type="dxa"/>
            <w:noWrap/>
            <w:hideMark/>
          </w:tcPr>
          <w:p w14:paraId="1E1E9DCE"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£140,141</w:t>
            </w:r>
          </w:p>
        </w:tc>
        <w:tc>
          <w:tcPr>
            <w:tcW w:w="1893" w:type="dxa"/>
            <w:noWrap/>
            <w:hideMark/>
          </w:tcPr>
          <w:p w14:paraId="1798B70A"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126.3</w:t>
            </w:r>
          </w:p>
        </w:tc>
      </w:tr>
      <w:tr w:rsidR="00714950" w:rsidRPr="00714950" w14:paraId="560A8884"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59C59A3B"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c>
          <w:tcPr>
            <w:tcW w:w="1892" w:type="dxa"/>
            <w:noWrap/>
            <w:hideMark/>
          </w:tcPr>
          <w:p w14:paraId="0CBAAF31"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 </w:t>
            </w:r>
          </w:p>
        </w:tc>
        <w:tc>
          <w:tcPr>
            <w:tcW w:w="1892" w:type="dxa"/>
            <w:noWrap/>
            <w:hideMark/>
          </w:tcPr>
          <w:p w14:paraId="70DF9189"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 </w:t>
            </w:r>
          </w:p>
        </w:tc>
        <w:tc>
          <w:tcPr>
            <w:tcW w:w="1892" w:type="dxa"/>
            <w:noWrap/>
            <w:hideMark/>
          </w:tcPr>
          <w:p w14:paraId="4BDF3173"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c>
          <w:tcPr>
            <w:tcW w:w="1893" w:type="dxa"/>
            <w:noWrap/>
            <w:hideMark/>
          </w:tcPr>
          <w:p w14:paraId="4C78EC35"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r>
      <w:tr w:rsidR="00714950" w:rsidRPr="00714950" w14:paraId="12A5BC45"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6D2412EE"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2020 – Q1</w:t>
            </w:r>
          </w:p>
        </w:tc>
        <w:tc>
          <w:tcPr>
            <w:tcW w:w="1892" w:type="dxa"/>
            <w:noWrap/>
            <w:hideMark/>
          </w:tcPr>
          <w:p w14:paraId="1BF732A5"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£124,618</w:t>
            </w:r>
          </w:p>
        </w:tc>
        <w:tc>
          <w:tcPr>
            <w:tcW w:w="1892" w:type="dxa"/>
            <w:noWrap/>
            <w:hideMark/>
          </w:tcPr>
          <w:p w14:paraId="755E92EB"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126.4</w:t>
            </w:r>
          </w:p>
        </w:tc>
        <w:tc>
          <w:tcPr>
            <w:tcW w:w="1892" w:type="dxa"/>
            <w:noWrap/>
            <w:hideMark/>
          </w:tcPr>
          <w:p w14:paraId="48373D4D"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£140,722</w:t>
            </w:r>
          </w:p>
        </w:tc>
        <w:tc>
          <w:tcPr>
            <w:tcW w:w="1893" w:type="dxa"/>
            <w:noWrap/>
            <w:hideMark/>
          </w:tcPr>
          <w:p w14:paraId="0A379D99"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126.8</w:t>
            </w:r>
          </w:p>
        </w:tc>
      </w:tr>
      <w:tr w:rsidR="00714950" w:rsidRPr="00714950" w14:paraId="3AAA3952"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7B3453B1"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2020 - Q2</w:t>
            </w:r>
          </w:p>
        </w:tc>
        <w:tc>
          <w:tcPr>
            <w:tcW w:w="1892" w:type="dxa"/>
            <w:noWrap/>
            <w:hideMark/>
          </w:tcPr>
          <w:p w14:paraId="217BA916"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£125,312</w:t>
            </w:r>
          </w:p>
        </w:tc>
        <w:tc>
          <w:tcPr>
            <w:tcW w:w="1892" w:type="dxa"/>
            <w:noWrap/>
            <w:hideMark/>
          </w:tcPr>
          <w:p w14:paraId="2012672B"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127.1</w:t>
            </w:r>
          </w:p>
        </w:tc>
        <w:tc>
          <w:tcPr>
            <w:tcW w:w="1892" w:type="dxa"/>
            <w:noWrap/>
            <w:hideMark/>
          </w:tcPr>
          <w:p w14:paraId="7D0C9C9B"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£140,841</w:t>
            </w:r>
          </w:p>
        </w:tc>
        <w:tc>
          <w:tcPr>
            <w:tcW w:w="1893" w:type="dxa"/>
            <w:noWrap/>
            <w:hideMark/>
          </w:tcPr>
          <w:p w14:paraId="67E0EB28"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127.0</w:t>
            </w:r>
          </w:p>
        </w:tc>
      </w:tr>
      <w:tr w:rsidR="00714950" w:rsidRPr="00714950" w14:paraId="0872F853"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2F65C5D3"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2020 - Q3</w:t>
            </w:r>
          </w:p>
        </w:tc>
        <w:tc>
          <w:tcPr>
            <w:tcW w:w="1892" w:type="dxa"/>
            <w:noWrap/>
            <w:hideMark/>
          </w:tcPr>
          <w:p w14:paraId="6E62EA9E"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£126,736</w:t>
            </w:r>
          </w:p>
        </w:tc>
        <w:tc>
          <w:tcPr>
            <w:tcW w:w="1892" w:type="dxa"/>
            <w:noWrap/>
            <w:hideMark/>
          </w:tcPr>
          <w:p w14:paraId="63CFADBA"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128.6</w:t>
            </w:r>
          </w:p>
        </w:tc>
        <w:tc>
          <w:tcPr>
            <w:tcW w:w="1892" w:type="dxa"/>
            <w:noWrap/>
            <w:hideMark/>
          </w:tcPr>
          <w:p w14:paraId="31489C00"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£143,723</w:t>
            </w:r>
          </w:p>
        </w:tc>
        <w:tc>
          <w:tcPr>
            <w:tcW w:w="1893" w:type="dxa"/>
            <w:noWrap/>
            <w:hideMark/>
          </w:tcPr>
          <w:p w14:paraId="49958743"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129.6</w:t>
            </w:r>
          </w:p>
        </w:tc>
      </w:tr>
      <w:tr w:rsidR="00714950" w:rsidRPr="00714950" w14:paraId="742B5694"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3DAD399B"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lastRenderedPageBreak/>
              <w:t>2020 - Q4</w:t>
            </w:r>
          </w:p>
        </w:tc>
        <w:tc>
          <w:tcPr>
            <w:tcW w:w="1892" w:type="dxa"/>
            <w:noWrap/>
            <w:hideMark/>
          </w:tcPr>
          <w:p w14:paraId="3987C4A7"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£128,989</w:t>
            </w:r>
          </w:p>
        </w:tc>
        <w:tc>
          <w:tcPr>
            <w:tcW w:w="1892" w:type="dxa"/>
            <w:noWrap/>
            <w:hideMark/>
          </w:tcPr>
          <w:p w14:paraId="2890103D"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130.9</w:t>
            </w:r>
          </w:p>
        </w:tc>
        <w:tc>
          <w:tcPr>
            <w:tcW w:w="1892" w:type="dxa"/>
            <w:noWrap/>
            <w:hideMark/>
          </w:tcPr>
          <w:p w14:paraId="39CBB845"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£147,475</w:t>
            </w:r>
          </w:p>
        </w:tc>
        <w:tc>
          <w:tcPr>
            <w:tcW w:w="1893" w:type="dxa"/>
            <w:noWrap/>
            <w:hideMark/>
          </w:tcPr>
          <w:p w14:paraId="57690D2D"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132.9</w:t>
            </w:r>
          </w:p>
        </w:tc>
      </w:tr>
      <w:tr w:rsidR="00714950" w:rsidRPr="00714950" w14:paraId="4F0CAFCB"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3DA566CC"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c>
          <w:tcPr>
            <w:tcW w:w="1892" w:type="dxa"/>
            <w:noWrap/>
            <w:hideMark/>
          </w:tcPr>
          <w:p w14:paraId="0D6583D8"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 </w:t>
            </w:r>
          </w:p>
        </w:tc>
        <w:tc>
          <w:tcPr>
            <w:tcW w:w="1892" w:type="dxa"/>
            <w:noWrap/>
            <w:hideMark/>
          </w:tcPr>
          <w:p w14:paraId="0A7F9FE2"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 </w:t>
            </w:r>
          </w:p>
        </w:tc>
        <w:tc>
          <w:tcPr>
            <w:tcW w:w="1892" w:type="dxa"/>
            <w:noWrap/>
            <w:hideMark/>
          </w:tcPr>
          <w:p w14:paraId="5D254D3C"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c>
          <w:tcPr>
            <w:tcW w:w="1893" w:type="dxa"/>
            <w:noWrap/>
            <w:hideMark/>
          </w:tcPr>
          <w:p w14:paraId="7B10D01C"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r>
      <w:tr w:rsidR="00714950" w:rsidRPr="00714950" w14:paraId="4A2C2039"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34C0CEB2"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2021 - Q1</w:t>
            </w:r>
          </w:p>
        </w:tc>
        <w:tc>
          <w:tcPr>
            <w:tcW w:w="1892" w:type="dxa"/>
            <w:noWrap/>
            <w:hideMark/>
          </w:tcPr>
          <w:p w14:paraId="63C6553C"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£128,520</w:t>
            </w:r>
          </w:p>
        </w:tc>
        <w:tc>
          <w:tcPr>
            <w:tcW w:w="1892" w:type="dxa"/>
            <w:noWrap/>
            <w:hideMark/>
          </w:tcPr>
          <w:p w14:paraId="4AC0BF14"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130.4</w:t>
            </w:r>
          </w:p>
        </w:tc>
        <w:tc>
          <w:tcPr>
            <w:tcW w:w="1892" w:type="dxa"/>
            <w:noWrap/>
            <w:hideMark/>
          </w:tcPr>
          <w:p w14:paraId="5F6F4BC3"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£149,084</w:t>
            </w:r>
          </w:p>
        </w:tc>
        <w:tc>
          <w:tcPr>
            <w:tcW w:w="1893" w:type="dxa"/>
            <w:noWrap/>
            <w:hideMark/>
          </w:tcPr>
          <w:p w14:paraId="4BBA6E73"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134.4</w:t>
            </w:r>
          </w:p>
        </w:tc>
      </w:tr>
      <w:tr w:rsidR="00714950" w:rsidRPr="00714950" w14:paraId="5BF0F526"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19DCFA82"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2021 - Q2</w:t>
            </w:r>
          </w:p>
        </w:tc>
        <w:tc>
          <w:tcPr>
            <w:tcW w:w="1892" w:type="dxa"/>
            <w:noWrap/>
            <w:hideMark/>
          </w:tcPr>
          <w:p w14:paraId="4D8311DC"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£135,476</w:t>
            </w:r>
          </w:p>
        </w:tc>
        <w:tc>
          <w:tcPr>
            <w:tcW w:w="1892" w:type="dxa"/>
            <w:noWrap/>
            <w:hideMark/>
          </w:tcPr>
          <w:p w14:paraId="38510D73"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137.4</w:t>
            </w:r>
          </w:p>
        </w:tc>
        <w:tc>
          <w:tcPr>
            <w:tcW w:w="1892" w:type="dxa"/>
            <w:noWrap/>
            <w:hideMark/>
          </w:tcPr>
          <w:p w14:paraId="187DB72B"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£154,323</w:t>
            </w:r>
          </w:p>
        </w:tc>
        <w:tc>
          <w:tcPr>
            <w:tcW w:w="1893" w:type="dxa"/>
            <w:noWrap/>
            <w:hideMark/>
          </w:tcPr>
          <w:p w14:paraId="29E89D8D"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139.1</w:t>
            </w:r>
          </w:p>
        </w:tc>
      </w:tr>
      <w:tr w:rsidR="00714950" w:rsidRPr="00714950" w14:paraId="28D80F13"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45F9A538"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2021 - Q3</w:t>
            </w:r>
          </w:p>
        </w:tc>
        <w:tc>
          <w:tcPr>
            <w:tcW w:w="1892" w:type="dxa"/>
            <w:noWrap/>
            <w:hideMark/>
          </w:tcPr>
          <w:p w14:paraId="15443D33"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£141,523</w:t>
            </w:r>
          </w:p>
        </w:tc>
        <w:tc>
          <w:tcPr>
            <w:tcW w:w="1892" w:type="dxa"/>
            <w:noWrap/>
            <w:hideMark/>
          </w:tcPr>
          <w:p w14:paraId="75EC778F"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143.6</w:t>
            </w:r>
          </w:p>
        </w:tc>
        <w:tc>
          <w:tcPr>
            <w:tcW w:w="1892" w:type="dxa"/>
            <w:noWrap/>
            <w:hideMark/>
          </w:tcPr>
          <w:p w14:paraId="0BB3A555"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£159,098</w:t>
            </w:r>
          </w:p>
        </w:tc>
        <w:tc>
          <w:tcPr>
            <w:tcW w:w="1893" w:type="dxa"/>
            <w:noWrap/>
            <w:hideMark/>
          </w:tcPr>
          <w:p w14:paraId="05DA7570"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143.4</w:t>
            </w:r>
          </w:p>
        </w:tc>
      </w:tr>
      <w:tr w:rsidR="00714950" w:rsidRPr="00714950" w14:paraId="0DCE4644"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03C70706" w14:textId="77777777" w:rsidR="00714950" w:rsidRPr="00714950" w:rsidRDefault="00714950" w:rsidP="00714950">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2021 - Q4</w:t>
            </w:r>
          </w:p>
        </w:tc>
        <w:tc>
          <w:tcPr>
            <w:tcW w:w="1892" w:type="dxa"/>
            <w:noWrap/>
            <w:hideMark/>
          </w:tcPr>
          <w:p w14:paraId="056530B9"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£140,168</w:t>
            </w:r>
          </w:p>
        </w:tc>
        <w:tc>
          <w:tcPr>
            <w:tcW w:w="1892" w:type="dxa"/>
            <w:noWrap/>
            <w:hideMark/>
          </w:tcPr>
          <w:p w14:paraId="160ADDE2"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142.2</w:t>
            </w:r>
          </w:p>
        </w:tc>
        <w:tc>
          <w:tcPr>
            <w:tcW w:w="1892" w:type="dxa"/>
            <w:noWrap/>
            <w:hideMark/>
          </w:tcPr>
          <w:p w14:paraId="39EEF52D"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£159,073</w:t>
            </w:r>
          </w:p>
        </w:tc>
        <w:tc>
          <w:tcPr>
            <w:tcW w:w="1893" w:type="dxa"/>
            <w:noWrap/>
            <w:hideMark/>
          </w:tcPr>
          <w:p w14:paraId="1F40A387"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143.4</w:t>
            </w:r>
          </w:p>
        </w:tc>
      </w:tr>
      <w:tr w:rsidR="00714950" w:rsidRPr="00714950" w14:paraId="17F5C5BC"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3D6A5879" w14:textId="77777777" w:rsidR="00714950" w:rsidRPr="00714950" w:rsidRDefault="00714950" w:rsidP="00714950">
            <w:pPr>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c>
          <w:tcPr>
            <w:tcW w:w="1892" w:type="dxa"/>
            <w:noWrap/>
            <w:hideMark/>
          </w:tcPr>
          <w:p w14:paraId="33D0F585"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 </w:t>
            </w:r>
          </w:p>
        </w:tc>
        <w:tc>
          <w:tcPr>
            <w:tcW w:w="1892" w:type="dxa"/>
            <w:noWrap/>
            <w:hideMark/>
          </w:tcPr>
          <w:p w14:paraId="7267C7CE"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14950">
              <w:rPr>
                <w:rFonts w:ascii="Calibri" w:eastAsia="Times New Roman" w:hAnsi="Calibri" w:cs="Calibri"/>
                <w:lang w:eastAsia="en-GB"/>
              </w:rPr>
              <w:t> </w:t>
            </w:r>
          </w:p>
        </w:tc>
        <w:tc>
          <w:tcPr>
            <w:tcW w:w="1892" w:type="dxa"/>
            <w:noWrap/>
            <w:hideMark/>
          </w:tcPr>
          <w:p w14:paraId="12691789"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c>
          <w:tcPr>
            <w:tcW w:w="1893" w:type="dxa"/>
            <w:noWrap/>
            <w:hideMark/>
          </w:tcPr>
          <w:p w14:paraId="64B8933F"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r>
      <w:tr w:rsidR="000F3377" w:rsidRPr="00714950" w14:paraId="0F7EECBA" w14:textId="77777777" w:rsidTr="00022000">
        <w:trPr>
          <w:trHeight w:val="288"/>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4AAF7BB6" w14:textId="77777777" w:rsidR="000F3377" w:rsidRPr="000F3377" w:rsidRDefault="000F3377" w:rsidP="000F3377">
            <w:pPr>
              <w:jc w:val="center"/>
              <w:rPr>
                <w:rFonts w:ascii="Calibri" w:hAnsi="Calibri" w:cs="Calibri"/>
                <w:color w:val="000000"/>
              </w:rPr>
            </w:pPr>
            <w:r w:rsidRPr="000F3377">
              <w:rPr>
                <w:rFonts w:ascii="Calibri" w:hAnsi="Calibri" w:cs="Calibri"/>
                <w:bCs w:val="0"/>
                <w:color w:val="000000"/>
              </w:rPr>
              <w:t>2022 - Q1</w:t>
            </w:r>
          </w:p>
        </w:tc>
        <w:tc>
          <w:tcPr>
            <w:tcW w:w="1892" w:type="dxa"/>
            <w:noWrap/>
            <w:vAlign w:val="center"/>
            <w:hideMark/>
          </w:tcPr>
          <w:p w14:paraId="4929DAB8" w14:textId="77777777" w:rsidR="000F3377" w:rsidRDefault="000F3377" w:rsidP="000F33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£145,838</w:t>
            </w:r>
          </w:p>
        </w:tc>
        <w:tc>
          <w:tcPr>
            <w:tcW w:w="1892" w:type="dxa"/>
            <w:noWrap/>
            <w:vAlign w:val="center"/>
            <w:hideMark/>
          </w:tcPr>
          <w:p w14:paraId="65B8AA5F" w14:textId="77777777" w:rsidR="000F3377" w:rsidRDefault="000F3377" w:rsidP="000F33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148</w:t>
            </w:r>
          </w:p>
        </w:tc>
        <w:tc>
          <w:tcPr>
            <w:tcW w:w="1892" w:type="dxa"/>
            <w:noWrap/>
            <w:vAlign w:val="center"/>
            <w:hideMark/>
          </w:tcPr>
          <w:p w14:paraId="786CDD11" w14:textId="77777777" w:rsidR="000F3377" w:rsidRDefault="000F3377" w:rsidP="000F33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£163,877</w:t>
            </w:r>
          </w:p>
        </w:tc>
        <w:tc>
          <w:tcPr>
            <w:tcW w:w="1893" w:type="dxa"/>
            <w:noWrap/>
            <w:vAlign w:val="center"/>
            <w:hideMark/>
          </w:tcPr>
          <w:p w14:paraId="0369DE39" w14:textId="77777777" w:rsidR="000F3377" w:rsidRDefault="000F3377" w:rsidP="000F33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147.7</w:t>
            </w:r>
          </w:p>
        </w:tc>
      </w:tr>
      <w:tr w:rsidR="000F3377" w:rsidRPr="00714950" w14:paraId="74D2E639" w14:textId="77777777" w:rsidTr="00022000">
        <w:trPr>
          <w:trHeight w:val="288"/>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134C6202" w14:textId="77777777" w:rsidR="000F3377" w:rsidRPr="000F3377" w:rsidRDefault="000F3377" w:rsidP="000F3377">
            <w:pPr>
              <w:jc w:val="center"/>
              <w:rPr>
                <w:rFonts w:ascii="Calibri" w:hAnsi="Calibri" w:cs="Calibri"/>
                <w:color w:val="000000"/>
              </w:rPr>
            </w:pPr>
            <w:r w:rsidRPr="000F3377">
              <w:rPr>
                <w:rFonts w:ascii="Calibri" w:hAnsi="Calibri" w:cs="Calibri"/>
                <w:bCs w:val="0"/>
                <w:color w:val="000000"/>
              </w:rPr>
              <w:t>2022 - Q2</w:t>
            </w:r>
          </w:p>
        </w:tc>
        <w:tc>
          <w:tcPr>
            <w:tcW w:w="1892" w:type="dxa"/>
            <w:noWrap/>
            <w:vAlign w:val="center"/>
            <w:hideMark/>
          </w:tcPr>
          <w:p w14:paraId="7458904F" w14:textId="77777777" w:rsidR="000F3377" w:rsidRDefault="000F3377" w:rsidP="000F33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£150,778</w:t>
            </w:r>
          </w:p>
        </w:tc>
        <w:tc>
          <w:tcPr>
            <w:tcW w:w="1892" w:type="dxa"/>
            <w:noWrap/>
            <w:vAlign w:val="center"/>
            <w:hideMark/>
          </w:tcPr>
          <w:p w14:paraId="04A51FA3" w14:textId="77777777" w:rsidR="000F3377" w:rsidRDefault="000F3377" w:rsidP="000F33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153</w:t>
            </w:r>
          </w:p>
        </w:tc>
        <w:tc>
          <w:tcPr>
            <w:tcW w:w="1892" w:type="dxa"/>
            <w:noWrap/>
            <w:vAlign w:val="center"/>
            <w:hideMark/>
          </w:tcPr>
          <w:p w14:paraId="4DBB6A49" w14:textId="77777777" w:rsidR="000F3377" w:rsidRDefault="000F3377" w:rsidP="000F33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£169,296</w:t>
            </w:r>
          </w:p>
        </w:tc>
        <w:tc>
          <w:tcPr>
            <w:tcW w:w="1893" w:type="dxa"/>
            <w:noWrap/>
            <w:vAlign w:val="center"/>
            <w:hideMark/>
          </w:tcPr>
          <w:p w14:paraId="29E94398" w14:textId="77777777" w:rsidR="000F3377" w:rsidRDefault="000F3377" w:rsidP="000F33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152.6</w:t>
            </w:r>
          </w:p>
        </w:tc>
      </w:tr>
      <w:tr w:rsidR="000F3377" w:rsidRPr="00714950" w14:paraId="6479CCF3" w14:textId="77777777" w:rsidTr="00022000">
        <w:trPr>
          <w:trHeight w:val="288"/>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59D707E6" w14:textId="77777777" w:rsidR="000F3377" w:rsidRPr="000F3377" w:rsidRDefault="000F3377" w:rsidP="000F3377">
            <w:pPr>
              <w:jc w:val="center"/>
              <w:rPr>
                <w:rFonts w:ascii="Calibri" w:hAnsi="Calibri" w:cs="Calibri"/>
                <w:color w:val="000000"/>
              </w:rPr>
            </w:pPr>
            <w:r w:rsidRPr="000F3377">
              <w:rPr>
                <w:rFonts w:ascii="Calibri" w:hAnsi="Calibri" w:cs="Calibri"/>
                <w:bCs w:val="0"/>
                <w:color w:val="000000"/>
              </w:rPr>
              <w:t>2022 - Q3</w:t>
            </w:r>
          </w:p>
        </w:tc>
        <w:tc>
          <w:tcPr>
            <w:tcW w:w="1892" w:type="dxa"/>
            <w:noWrap/>
            <w:vAlign w:val="center"/>
            <w:hideMark/>
          </w:tcPr>
          <w:p w14:paraId="2956F1AD" w14:textId="77777777" w:rsidR="000F3377" w:rsidRDefault="000F3377" w:rsidP="000F33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£157,156</w:t>
            </w:r>
          </w:p>
        </w:tc>
        <w:tc>
          <w:tcPr>
            <w:tcW w:w="1892" w:type="dxa"/>
            <w:noWrap/>
            <w:vAlign w:val="center"/>
            <w:hideMark/>
          </w:tcPr>
          <w:p w14:paraId="07823BA3" w14:textId="77777777" w:rsidR="000F3377" w:rsidRDefault="000F3377" w:rsidP="000F33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159.4</w:t>
            </w:r>
          </w:p>
        </w:tc>
        <w:tc>
          <w:tcPr>
            <w:tcW w:w="1892" w:type="dxa"/>
            <w:noWrap/>
            <w:vAlign w:val="center"/>
            <w:hideMark/>
          </w:tcPr>
          <w:p w14:paraId="2A36A220" w14:textId="77777777" w:rsidR="000F3377" w:rsidRDefault="000F3377" w:rsidP="000F33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£175,793</w:t>
            </w:r>
          </w:p>
        </w:tc>
        <w:tc>
          <w:tcPr>
            <w:tcW w:w="1893" w:type="dxa"/>
            <w:noWrap/>
            <w:vAlign w:val="center"/>
            <w:hideMark/>
          </w:tcPr>
          <w:p w14:paraId="0CF66B29" w14:textId="77777777" w:rsidR="000F3377" w:rsidRDefault="000F3377" w:rsidP="000F33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158.5</w:t>
            </w:r>
          </w:p>
        </w:tc>
      </w:tr>
      <w:tr w:rsidR="000F3377" w:rsidRPr="00714950" w14:paraId="50664D02" w14:textId="77777777" w:rsidTr="00022000">
        <w:trPr>
          <w:trHeight w:val="288"/>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2FB863F0" w14:textId="77777777" w:rsidR="000F3377" w:rsidRPr="000F3377" w:rsidRDefault="000F3377" w:rsidP="000F3377">
            <w:pPr>
              <w:jc w:val="center"/>
              <w:rPr>
                <w:rFonts w:ascii="Calibri" w:hAnsi="Calibri" w:cs="Calibri"/>
                <w:color w:val="000000"/>
              </w:rPr>
            </w:pPr>
            <w:r w:rsidRPr="000F3377">
              <w:rPr>
                <w:rFonts w:ascii="Calibri" w:hAnsi="Calibri" w:cs="Calibri"/>
                <w:bCs w:val="0"/>
                <w:color w:val="000000"/>
              </w:rPr>
              <w:t>2022 - Q4</w:t>
            </w:r>
          </w:p>
        </w:tc>
        <w:tc>
          <w:tcPr>
            <w:tcW w:w="1892" w:type="dxa"/>
            <w:noWrap/>
            <w:vAlign w:val="center"/>
            <w:hideMark/>
          </w:tcPr>
          <w:p w14:paraId="4FDEC9F9" w14:textId="0C1BB1CA" w:rsidR="000F3377" w:rsidRDefault="000F3377" w:rsidP="000F33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£156,</w:t>
            </w:r>
            <w:r w:rsidR="00F7045A">
              <w:rPr>
                <w:rFonts w:ascii="Calibri" w:hAnsi="Calibri" w:cs="Calibri"/>
                <w:color w:val="000000"/>
              </w:rPr>
              <w:t>055</w:t>
            </w:r>
          </w:p>
        </w:tc>
        <w:tc>
          <w:tcPr>
            <w:tcW w:w="1892" w:type="dxa"/>
            <w:noWrap/>
            <w:vAlign w:val="center"/>
            <w:hideMark/>
          </w:tcPr>
          <w:p w14:paraId="30F742DB" w14:textId="5C7817EC" w:rsidR="000F3377" w:rsidRDefault="000F3377" w:rsidP="000F33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158.</w:t>
            </w:r>
            <w:r w:rsidR="00F7045A">
              <w:rPr>
                <w:rFonts w:ascii="Calibri" w:hAnsi="Calibri" w:cs="Calibri"/>
                <w:color w:val="000000"/>
              </w:rPr>
              <w:t>3</w:t>
            </w:r>
          </w:p>
        </w:tc>
        <w:tc>
          <w:tcPr>
            <w:tcW w:w="1892" w:type="dxa"/>
            <w:noWrap/>
            <w:vAlign w:val="center"/>
            <w:hideMark/>
          </w:tcPr>
          <w:p w14:paraId="18CC8688" w14:textId="08C1A3C1" w:rsidR="000F3377" w:rsidRDefault="000F3377" w:rsidP="000F33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£175,1</w:t>
            </w:r>
            <w:r w:rsidR="00F7045A">
              <w:rPr>
                <w:rFonts w:ascii="Calibri" w:hAnsi="Calibri" w:cs="Calibri"/>
                <w:color w:val="000000"/>
              </w:rPr>
              <w:t>24</w:t>
            </w:r>
          </w:p>
        </w:tc>
        <w:tc>
          <w:tcPr>
            <w:tcW w:w="1893" w:type="dxa"/>
            <w:noWrap/>
            <w:vAlign w:val="center"/>
            <w:hideMark/>
          </w:tcPr>
          <w:p w14:paraId="7951C101" w14:textId="77777777" w:rsidR="000F3377" w:rsidRDefault="000F3377" w:rsidP="000F33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157.9</w:t>
            </w:r>
          </w:p>
        </w:tc>
      </w:tr>
      <w:tr w:rsidR="000F3377" w:rsidRPr="00714950" w14:paraId="0DEDB1AC" w14:textId="77777777" w:rsidTr="00022000">
        <w:trPr>
          <w:trHeight w:val="288"/>
        </w:trPr>
        <w:tc>
          <w:tcPr>
            <w:cnfStyle w:val="001000000000" w:firstRow="0" w:lastRow="0" w:firstColumn="1" w:lastColumn="0" w:oddVBand="0" w:evenVBand="0" w:oddHBand="0" w:evenHBand="0" w:firstRowFirstColumn="0" w:firstRowLastColumn="0" w:lastRowFirstColumn="0" w:lastRowLastColumn="0"/>
            <w:tcW w:w="1271" w:type="dxa"/>
            <w:noWrap/>
            <w:vAlign w:val="center"/>
          </w:tcPr>
          <w:p w14:paraId="7FA51320" w14:textId="77777777" w:rsidR="000F3377" w:rsidRPr="000F3377" w:rsidRDefault="000F3377" w:rsidP="000F3377">
            <w:pPr>
              <w:jc w:val="center"/>
              <w:rPr>
                <w:rFonts w:ascii="Calibri" w:hAnsi="Calibri" w:cs="Calibri"/>
                <w:color w:val="000000"/>
              </w:rPr>
            </w:pPr>
            <w:r w:rsidRPr="000F3377">
              <w:rPr>
                <w:rFonts w:ascii="Calibri" w:hAnsi="Calibri" w:cs="Calibri"/>
                <w:bCs w:val="0"/>
                <w:color w:val="000000"/>
              </w:rPr>
              <w:t> </w:t>
            </w:r>
          </w:p>
        </w:tc>
        <w:tc>
          <w:tcPr>
            <w:tcW w:w="1892" w:type="dxa"/>
            <w:noWrap/>
            <w:vAlign w:val="center"/>
          </w:tcPr>
          <w:p w14:paraId="7ADBA4D0" w14:textId="77777777" w:rsidR="000F3377" w:rsidRDefault="000F3377" w:rsidP="000F33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w:t>
            </w:r>
          </w:p>
        </w:tc>
        <w:tc>
          <w:tcPr>
            <w:tcW w:w="1892" w:type="dxa"/>
            <w:noWrap/>
            <w:vAlign w:val="center"/>
          </w:tcPr>
          <w:p w14:paraId="574EB8DF" w14:textId="77777777" w:rsidR="000F3377" w:rsidRDefault="000F3377" w:rsidP="000F33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w:t>
            </w:r>
          </w:p>
        </w:tc>
        <w:tc>
          <w:tcPr>
            <w:tcW w:w="1892" w:type="dxa"/>
            <w:noWrap/>
            <w:vAlign w:val="center"/>
          </w:tcPr>
          <w:p w14:paraId="02171FDA" w14:textId="77777777" w:rsidR="000F3377" w:rsidRDefault="000F3377" w:rsidP="000F33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w:t>
            </w:r>
          </w:p>
        </w:tc>
        <w:tc>
          <w:tcPr>
            <w:tcW w:w="1893" w:type="dxa"/>
            <w:noWrap/>
            <w:vAlign w:val="center"/>
          </w:tcPr>
          <w:p w14:paraId="4C2DA3B2" w14:textId="77777777" w:rsidR="000F3377" w:rsidRDefault="000F3377" w:rsidP="000F33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w:t>
            </w:r>
          </w:p>
        </w:tc>
      </w:tr>
      <w:tr w:rsidR="00722CA9" w:rsidRPr="00714950" w14:paraId="54749E1F" w14:textId="77777777" w:rsidTr="006D395B">
        <w:trPr>
          <w:trHeight w:val="288"/>
        </w:trPr>
        <w:tc>
          <w:tcPr>
            <w:cnfStyle w:val="001000000000" w:firstRow="0" w:lastRow="0" w:firstColumn="1" w:lastColumn="0" w:oddVBand="0" w:evenVBand="0" w:oddHBand="0" w:evenHBand="0" w:firstRowFirstColumn="0" w:firstRowLastColumn="0" w:lastRowFirstColumn="0" w:lastRowLastColumn="0"/>
            <w:tcW w:w="1271" w:type="dxa"/>
            <w:noWrap/>
            <w:vAlign w:val="center"/>
          </w:tcPr>
          <w:p w14:paraId="72C5BAF8" w14:textId="66DAFA90" w:rsidR="00722CA9" w:rsidRPr="00722CA9" w:rsidRDefault="00722CA9" w:rsidP="00722CA9">
            <w:pPr>
              <w:jc w:val="center"/>
              <w:rPr>
                <w:rFonts w:ascii="Calibri" w:hAnsi="Calibri" w:cs="Calibri"/>
                <w:color w:val="000000"/>
              </w:rPr>
            </w:pPr>
            <w:r w:rsidRPr="00722CA9">
              <w:rPr>
                <w:rFonts w:ascii="Calibri" w:hAnsi="Calibri" w:cs="Calibri"/>
                <w:color w:val="000000"/>
              </w:rPr>
              <w:t>2023 - Q1</w:t>
            </w:r>
          </w:p>
        </w:tc>
        <w:tc>
          <w:tcPr>
            <w:tcW w:w="1892" w:type="dxa"/>
            <w:noWrap/>
            <w:vAlign w:val="center"/>
          </w:tcPr>
          <w:p w14:paraId="26A2B1BC" w14:textId="082EE9E6" w:rsidR="00722CA9" w:rsidRPr="00B740A0"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£154,670</w:t>
            </w:r>
          </w:p>
        </w:tc>
        <w:tc>
          <w:tcPr>
            <w:tcW w:w="1892" w:type="dxa"/>
            <w:noWrap/>
            <w:vAlign w:val="center"/>
          </w:tcPr>
          <w:p w14:paraId="4A8933AA" w14:textId="640D3650" w:rsidR="00722CA9" w:rsidRPr="00B740A0"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156.9</w:t>
            </w:r>
          </w:p>
        </w:tc>
        <w:tc>
          <w:tcPr>
            <w:tcW w:w="1892" w:type="dxa"/>
            <w:noWrap/>
            <w:vAlign w:val="center"/>
          </w:tcPr>
          <w:p w14:paraId="0C8FEDB5" w14:textId="411BDB34" w:rsidR="00722CA9" w:rsidRPr="00B740A0"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£171,689</w:t>
            </w:r>
          </w:p>
        </w:tc>
        <w:tc>
          <w:tcPr>
            <w:tcW w:w="1893" w:type="dxa"/>
            <w:noWrap/>
            <w:vAlign w:val="center"/>
          </w:tcPr>
          <w:p w14:paraId="089EF048" w14:textId="176E9485" w:rsidR="00722CA9" w:rsidRPr="00F7045A"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154.8</w:t>
            </w:r>
          </w:p>
        </w:tc>
      </w:tr>
      <w:tr w:rsidR="00722CA9" w:rsidRPr="00714950" w14:paraId="7FAE3D17" w14:textId="77777777" w:rsidTr="006D395B">
        <w:trPr>
          <w:trHeight w:val="288"/>
        </w:trPr>
        <w:tc>
          <w:tcPr>
            <w:cnfStyle w:val="001000000000" w:firstRow="0" w:lastRow="0" w:firstColumn="1" w:lastColumn="0" w:oddVBand="0" w:evenVBand="0" w:oddHBand="0" w:evenHBand="0" w:firstRowFirstColumn="0" w:firstRowLastColumn="0" w:lastRowFirstColumn="0" w:lastRowLastColumn="0"/>
            <w:tcW w:w="1271" w:type="dxa"/>
            <w:noWrap/>
            <w:vAlign w:val="center"/>
          </w:tcPr>
          <w:p w14:paraId="18E2EC4C" w14:textId="4682C611" w:rsidR="00722CA9" w:rsidRPr="00722CA9" w:rsidRDefault="00722CA9" w:rsidP="00722CA9">
            <w:pPr>
              <w:jc w:val="center"/>
              <w:rPr>
                <w:rFonts w:ascii="Calibri" w:hAnsi="Calibri" w:cs="Calibri"/>
                <w:color w:val="000000"/>
              </w:rPr>
            </w:pPr>
            <w:r w:rsidRPr="00722CA9">
              <w:rPr>
                <w:rFonts w:ascii="Calibri" w:hAnsi="Calibri" w:cs="Calibri"/>
                <w:color w:val="000000"/>
              </w:rPr>
              <w:t>2023 - Q2</w:t>
            </w:r>
          </w:p>
        </w:tc>
        <w:tc>
          <w:tcPr>
            <w:tcW w:w="1892" w:type="dxa"/>
            <w:noWrap/>
            <w:vAlign w:val="center"/>
          </w:tcPr>
          <w:p w14:paraId="548FDBB3" w14:textId="5E5C8FD4" w:rsidR="00722CA9" w:rsidRPr="00B740A0"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£153,731</w:t>
            </w:r>
          </w:p>
        </w:tc>
        <w:tc>
          <w:tcPr>
            <w:tcW w:w="1892" w:type="dxa"/>
            <w:noWrap/>
            <w:vAlign w:val="center"/>
          </w:tcPr>
          <w:p w14:paraId="2DEC55CB" w14:textId="370AD0C0" w:rsidR="00722CA9" w:rsidRPr="00B740A0"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156</w:t>
            </w:r>
          </w:p>
        </w:tc>
        <w:tc>
          <w:tcPr>
            <w:tcW w:w="1892" w:type="dxa"/>
            <w:noWrap/>
            <w:vAlign w:val="center"/>
          </w:tcPr>
          <w:p w14:paraId="5EA41892" w14:textId="0690EC12" w:rsidR="00722CA9" w:rsidRPr="00B740A0"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£173,917</w:t>
            </w:r>
          </w:p>
        </w:tc>
        <w:tc>
          <w:tcPr>
            <w:tcW w:w="1893" w:type="dxa"/>
            <w:noWrap/>
            <w:vAlign w:val="center"/>
          </w:tcPr>
          <w:p w14:paraId="584F9259" w14:textId="72CEC51F" w:rsidR="00722CA9" w:rsidRPr="00E64F91"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156.8</w:t>
            </w:r>
          </w:p>
        </w:tc>
      </w:tr>
      <w:tr w:rsidR="00722CA9" w:rsidRPr="00714950" w14:paraId="3B8A4792" w14:textId="77777777" w:rsidTr="006D395B">
        <w:trPr>
          <w:trHeight w:val="288"/>
        </w:trPr>
        <w:tc>
          <w:tcPr>
            <w:cnfStyle w:val="001000000000" w:firstRow="0" w:lastRow="0" w:firstColumn="1" w:lastColumn="0" w:oddVBand="0" w:evenVBand="0" w:oddHBand="0" w:evenHBand="0" w:firstRowFirstColumn="0" w:firstRowLastColumn="0" w:lastRowFirstColumn="0" w:lastRowLastColumn="0"/>
            <w:tcW w:w="1271" w:type="dxa"/>
            <w:noWrap/>
            <w:vAlign w:val="center"/>
          </w:tcPr>
          <w:p w14:paraId="48D6F47E" w14:textId="55BE114B" w:rsidR="00722CA9" w:rsidRPr="00722CA9" w:rsidRDefault="00722CA9" w:rsidP="00722CA9">
            <w:pPr>
              <w:jc w:val="center"/>
              <w:rPr>
                <w:rFonts w:ascii="Calibri" w:hAnsi="Calibri" w:cs="Calibri"/>
                <w:color w:val="000000"/>
              </w:rPr>
            </w:pPr>
            <w:r w:rsidRPr="00722CA9">
              <w:rPr>
                <w:rFonts w:ascii="Calibri" w:hAnsi="Calibri" w:cs="Calibri"/>
                <w:color w:val="000000"/>
              </w:rPr>
              <w:t>2023 - Q3</w:t>
            </w:r>
          </w:p>
        </w:tc>
        <w:tc>
          <w:tcPr>
            <w:tcW w:w="1892" w:type="dxa"/>
            <w:noWrap/>
            <w:vAlign w:val="center"/>
          </w:tcPr>
          <w:p w14:paraId="796E5A11" w14:textId="58C98B39" w:rsidR="00722CA9" w:rsidRPr="00B740A0"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£162,306</w:t>
            </w:r>
          </w:p>
        </w:tc>
        <w:tc>
          <w:tcPr>
            <w:tcW w:w="1892" w:type="dxa"/>
            <w:noWrap/>
            <w:vAlign w:val="center"/>
          </w:tcPr>
          <w:p w14:paraId="19822548" w14:textId="5870A2F1" w:rsidR="00722CA9" w:rsidRPr="00B740A0"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164.7</w:t>
            </w:r>
          </w:p>
        </w:tc>
        <w:tc>
          <w:tcPr>
            <w:tcW w:w="1892" w:type="dxa"/>
            <w:noWrap/>
            <w:vAlign w:val="center"/>
          </w:tcPr>
          <w:p w14:paraId="30DCEC3C" w14:textId="3620006F" w:rsidR="00722CA9" w:rsidRPr="00B740A0"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£179,348</w:t>
            </w:r>
          </w:p>
        </w:tc>
        <w:tc>
          <w:tcPr>
            <w:tcW w:w="1893" w:type="dxa"/>
            <w:noWrap/>
            <w:vAlign w:val="center"/>
          </w:tcPr>
          <w:p w14:paraId="265F92AA" w14:textId="71714A09" w:rsidR="00722CA9" w:rsidRPr="00F64045"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161.7</w:t>
            </w:r>
          </w:p>
        </w:tc>
      </w:tr>
      <w:tr w:rsidR="00722CA9" w:rsidRPr="00714950" w14:paraId="47A484E8" w14:textId="77777777" w:rsidTr="006D395B">
        <w:trPr>
          <w:trHeight w:val="288"/>
        </w:trPr>
        <w:tc>
          <w:tcPr>
            <w:cnfStyle w:val="001000000000" w:firstRow="0" w:lastRow="0" w:firstColumn="1" w:lastColumn="0" w:oddVBand="0" w:evenVBand="0" w:oddHBand="0" w:evenHBand="0" w:firstRowFirstColumn="0" w:firstRowLastColumn="0" w:lastRowFirstColumn="0" w:lastRowLastColumn="0"/>
            <w:tcW w:w="1271" w:type="dxa"/>
            <w:noWrap/>
            <w:vAlign w:val="center"/>
          </w:tcPr>
          <w:p w14:paraId="09C03B20" w14:textId="792F4496" w:rsidR="00722CA9" w:rsidRPr="00722CA9" w:rsidRDefault="00722CA9" w:rsidP="00722CA9">
            <w:pPr>
              <w:jc w:val="center"/>
              <w:rPr>
                <w:rFonts w:ascii="Calibri" w:hAnsi="Calibri" w:cs="Calibri"/>
                <w:color w:val="000000"/>
              </w:rPr>
            </w:pPr>
            <w:r w:rsidRPr="00722CA9">
              <w:rPr>
                <w:rFonts w:ascii="Calibri" w:hAnsi="Calibri" w:cs="Calibri"/>
                <w:color w:val="000000"/>
              </w:rPr>
              <w:t>2023 - Q4</w:t>
            </w:r>
          </w:p>
        </w:tc>
        <w:tc>
          <w:tcPr>
            <w:tcW w:w="1892" w:type="dxa"/>
            <w:noWrap/>
            <w:vAlign w:val="center"/>
          </w:tcPr>
          <w:p w14:paraId="2EA8E4F6" w14:textId="787775E1" w:rsidR="00722CA9" w:rsidRPr="00B740A0"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£159,6</w:t>
            </w:r>
            <w:r w:rsidR="00F82BC6">
              <w:rPr>
                <w:rFonts w:ascii="Calibri" w:hAnsi="Calibri" w:cstheme="minorHAnsi"/>
                <w:color w:val="000000"/>
              </w:rPr>
              <w:t>04</w:t>
            </w:r>
          </w:p>
        </w:tc>
        <w:tc>
          <w:tcPr>
            <w:tcW w:w="1892" w:type="dxa"/>
            <w:noWrap/>
            <w:vAlign w:val="center"/>
          </w:tcPr>
          <w:p w14:paraId="20647CE6" w14:textId="7CC03E0D" w:rsidR="00722CA9" w:rsidRPr="00B740A0"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161.9</w:t>
            </w:r>
          </w:p>
        </w:tc>
        <w:tc>
          <w:tcPr>
            <w:tcW w:w="1892" w:type="dxa"/>
            <w:noWrap/>
            <w:vAlign w:val="center"/>
          </w:tcPr>
          <w:p w14:paraId="4A183AA0" w14:textId="1BCC995A" w:rsidR="00722CA9" w:rsidRPr="00B740A0"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£177,6</w:t>
            </w:r>
            <w:r w:rsidR="00F82BC6">
              <w:rPr>
                <w:rFonts w:ascii="Calibri" w:hAnsi="Calibri" w:cstheme="minorHAnsi"/>
                <w:color w:val="000000"/>
              </w:rPr>
              <w:t>90</w:t>
            </w:r>
          </w:p>
        </w:tc>
        <w:tc>
          <w:tcPr>
            <w:tcW w:w="1893" w:type="dxa"/>
            <w:noWrap/>
            <w:vAlign w:val="center"/>
          </w:tcPr>
          <w:p w14:paraId="1E8DF95F" w14:textId="629A0940" w:rsidR="00722CA9" w:rsidRPr="00F64045"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160.</w:t>
            </w:r>
            <w:r w:rsidR="00F82BC6">
              <w:rPr>
                <w:rFonts w:ascii="Calibri" w:hAnsi="Calibri" w:cstheme="minorHAnsi"/>
                <w:color w:val="000000"/>
              </w:rPr>
              <w:t>2</w:t>
            </w:r>
          </w:p>
        </w:tc>
      </w:tr>
      <w:tr w:rsidR="00722CA9" w:rsidRPr="00714950" w14:paraId="0AB2080A" w14:textId="77777777" w:rsidTr="006D395B">
        <w:trPr>
          <w:trHeight w:val="288"/>
        </w:trPr>
        <w:tc>
          <w:tcPr>
            <w:cnfStyle w:val="001000000000" w:firstRow="0" w:lastRow="0" w:firstColumn="1" w:lastColumn="0" w:oddVBand="0" w:evenVBand="0" w:oddHBand="0" w:evenHBand="0" w:firstRowFirstColumn="0" w:firstRowLastColumn="0" w:lastRowFirstColumn="0" w:lastRowLastColumn="0"/>
            <w:tcW w:w="1271" w:type="dxa"/>
            <w:noWrap/>
            <w:vAlign w:val="center"/>
          </w:tcPr>
          <w:p w14:paraId="2FF76EF3" w14:textId="6ED856C1" w:rsidR="00722CA9" w:rsidRPr="00722CA9" w:rsidRDefault="00722CA9" w:rsidP="00722CA9">
            <w:pPr>
              <w:jc w:val="center"/>
              <w:rPr>
                <w:rFonts w:ascii="Calibri" w:hAnsi="Calibri" w:cs="Calibri"/>
                <w:color w:val="000000"/>
              </w:rPr>
            </w:pPr>
            <w:r w:rsidRPr="00722CA9">
              <w:rPr>
                <w:rFonts w:ascii="Calibri" w:hAnsi="Calibri" w:cs="Calibri"/>
                <w:color w:val="000000"/>
              </w:rPr>
              <w:t> </w:t>
            </w:r>
          </w:p>
        </w:tc>
        <w:tc>
          <w:tcPr>
            <w:tcW w:w="1892" w:type="dxa"/>
            <w:noWrap/>
            <w:vAlign w:val="center"/>
          </w:tcPr>
          <w:p w14:paraId="42683A7E" w14:textId="7C85213F" w:rsidR="00722CA9" w:rsidRPr="00B740A0"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 </w:t>
            </w:r>
          </w:p>
        </w:tc>
        <w:tc>
          <w:tcPr>
            <w:tcW w:w="1892" w:type="dxa"/>
            <w:noWrap/>
            <w:vAlign w:val="center"/>
          </w:tcPr>
          <w:p w14:paraId="3398C1ED" w14:textId="1A5966E6" w:rsidR="00722CA9" w:rsidRPr="00B740A0"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 </w:t>
            </w:r>
          </w:p>
        </w:tc>
        <w:tc>
          <w:tcPr>
            <w:tcW w:w="1892" w:type="dxa"/>
            <w:noWrap/>
            <w:vAlign w:val="center"/>
          </w:tcPr>
          <w:p w14:paraId="065465E3" w14:textId="72CD4684" w:rsidR="00722CA9" w:rsidRPr="00B740A0"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 </w:t>
            </w:r>
          </w:p>
        </w:tc>
        <w:tc>
          <w:tcPr>
            <w:tcW w:w="1893" w:type="dxa"/>
            <w:noWrap/>
            <w:vAlign w:val="center"/>
          </w:tcPr>
          <w:p w14:paraId="6ED55F33" w14:textId="4817224D" w:rsidR="00722CA9" w:rsidRPr="00F64045"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 </w:t>
            </w:r>
          </w:p>
        </w:tc>
      </w:tr>
      <w:tr w:rsidR="00722CA9" w:rsidRPr="00714950" w14:paraId="4AE66021" w14:textId="77777777" w:rsidTr="006D395B">
        <w:trPr>
          <w:trHeight w:val="288"/>
        </w:trPr>
        <w:tc>
          <w:tcPr>
            <w:cnfStyle w:val="001000000000" w:firstRow="0" w:lastRow="0" w:firstColumn="1" w:lastColumn="0" w:oddVBand="0" w:evenVBand="0" w:oddHBand="0" w:evenHBand="0" w:firstRowFirstColumn="0" w:firstRowLastColumn="0" w:lastRowFirstColumn="0" w:lastRowLastColumn="0"/>
            <w:tcW w:w="1271" w:type="dxa"/>
            <w:noWrap/>
            <w:vAlign w:val="center"/>
          </w:tcPr>
          <w:p w14:paraId="0DADE76B" w14:textId="1C03BD00" w:rsidR="00722CA9" w:rsidRPr="00722CA9" w:rsidRDefault="00722CA9" w:rsidP="00722CA9">
            <w:pPr>
              <w:jc w:val="center"/>
              <w:rPr>
                <w:rFonts w:ascii="Calibri" w:hAnsi="Calibri" w:cs="Calibri"/>
                <w:color w:val="000000"/>
              </w:rPr>
            </w:pPr>
            <w:r w:rsidRPr="00722CA9">
              <w:rPr>
                <w:rFonts w:ascii="Calibri" w:hAnsi="Calibri" w:cs="Calibri"/>
                <w:color w:val="000000"/>
              </w:rPr>
              <w:t>2024 - Q1</w:t>
            </w:r>
          </w:p>
        </w:tc>
        <w:tc>
          <w:tcPr>
            <w:tcW w:w="1892" w:type="dxa"/>
            <w:noWrap/>
            <w:vAlign w:val="center"/>
          </w:tcPr>
          <w:p w14:paraId="6393ABC4" w14:textId="73CFEEAD" w:rsidR="00722CA9" w:rsidRPr="00B740A0"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£161,</w:t>
            </w:r>
            <w:r w:rsidR="00F82BC6">
              <w:rPr>
                <w:rFonts w:ascii="Calibri" w:hAnsi="Calibri" w:cstheme="minorHAnsi"/>
                <w:color w:val="000000"/>
              </w:rPr>
              <w:t>470</w:t>
            </w:r>
          </w:p>
        </w:tc>
        <w:tc>
          <w:tcPr>
            <w:tcW w:w="1892" w:type="dxa"/>
            <w:noWrap/>
            <w:vAlign w:val="center"/>
          </w:tcPr>
          <w:p w14:paraId="33316B60" w14:textId="7B2656D0" w:rsidR="00722CA9" w:rsidRPr="00B740A0"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163.</w:t>
            </w:r>
            <w:r w:rsidR="00F82BC6">
              <w:rPr>
                <w:rFonts w:ascii="Calibri" w:hAnsi="Calibri" w:cstheme="minorHAnsi"/>
                <w:color w:val="000000"/>
              </w:rPr>
              <w:t>8</w:t>
            </w:r>
          </w:p>
        </w:tc>
        <w:tc>
          <w:tcPr>
            <w:tcW w:w="1892" w:type="dxa"/>
            <w:noWrap/>
            <w:vAlign w:val="center"/>
          </w:tcPr>
          <w:p w14:paraId="09F10E4E" w14:textId="4E7018CB" w:rsidR="00722CA9" w:rsidRPr="00B740A0"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£178,6</w:t>
            </w:r>
            <w:r w:rsidR="00F82BC6">
              <w:rPr>
                <w:rFonts w:ascii="Calibri" w:hAnsi="Calibri" w:cstheme="minorHAnsi"/>
                <w:color w:val="000000"/>
              </w:rPr>
              <w:t>43</w:t>
            </w:r>
          </w:p>
        </w:tc>
        <w:tc>
          <w:tcPr>
            <w:tcW w:w="1893" w:type="dxa"/>
            <w:noWrap/>
            <w:vAlign w:val="center"/>
          </w:tcPr>
          <w:p w14:paraId="7FBE844C" w14:textId="3EECDD08" w:rsidR="00722CA9" w:rsidRPr="00E64F91"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161.0</w:t>
            </w:r>
          </w:p>
        </w:tc>
      </w:tr>
      <w:tr w:rsidR="00722CA9" w:rsidRPr="00714950" w14:paraId="7D442AF4" w14:textId="77777777" w:rsidTr="006D395B">
        <w:trPr>
          <w:trHeight w:val="288"/>
        </w:trPr>
        <w:tc>
          <w:tcPr>
            <w:cnfStyle w:val="001000000000" w:firstRow="0" w:lastRow="0" w:firstColumn="1" w:lastColumn="0" w:oddVBand="0" w:evenVBand="0" w:oddHBand="0" w:evenHBand="0" w:firstRowFirstColumn="0" w:firstRowLastColumn="0" w:lastRowFirstColumn="0" w:lastRowLastColumn="0"/>
            <w:tcW w:w="1271" w:type="dxa"/>
            <w:noWrap/>
            <w:vAlign w:val="center"/>
          </w:tcPr>
          <w:p w14:paraId="1C82818F" w14:textId="75536411" w:rsidR="00722CA9" w:rsidRPr="00722CA9" w:rsidRDefault="00722CA9" w:rsidP="00722CA9">
            <w:pPr>
              <w:jc w:val="center"/>
              <w:rPr>
                <w:rFonts w:ascii="Calibri" w:hAnsi="Calibri" w:cs="Calibri"/>
                <w:color w:val="000000"/>
              </w:rPr>
            </w:pPr>
            <w:r w:rsidRPr="00722CA9">
              <w:rPr>
                <w:rFonts w:ascii="Calibri" w:hAnsi="Calibri" w:cs="Calibri"/>
                <w:color w:val="000000"/>
              </w:rPr>
              <w:t>2024 - Q2</w:t>
            </w:r>
          </w:p>
        </w:tc>
        <w:tc>
          <w:tcPr>
            <w:tcW w:w="1892" w:type="dxa"/>
            <w:noWrap/>
            <w:vAlign w:val="center"/>
          </w:tcPr>
          <w:p w14:paraId="55B11401" w14:textId="5A75ABE9" w:rsidR="00722CA9" w:rsidRPr="00B740A0"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£16</w:t>
            </w:r>
            <w:r w:rsidR="00F82BC6">
              <w:rPr>
                <w:rFonts w:ascii="Calibri" w:hAnsi="Calibri" w:cstheme="minorHAnsi"/>
                <w:color w:val="000000"/>
              </w:rPr>
              <w:t>6</w:t>
            </w:r>
            <w:r>
              <w:rPr>
                <w:rFonts w:ascii="Calibri" w:hAnsi="Calibri" w:cstheme="minorHAnsi"/>
                <w:color w:val="000000"/>
              </w:rPr>
              <w:t>,4</w:t>
            </w:r>
            <w:r w:rsidR="00F82BC6">
              <w:rPr>
                <w:rFonts w:ascii="Calibri" w:hAnsi="Calibri" w:cstheme="minorHAnsi"/>
                <w:color w:val="000000"/>
              </w:rPr>
              <w:t>24</w:t>
            </w:r>
          </w:p>
        </w:tc>
        <w:tc>
          <w:tcPr>
            <w:tcW w:w="1892" w:type="dxa"/>
            <w:noWrap/>
            <w:vAlign w:val="center"/>
          </w:tcPr>
          <w:p w14:paraId="05594807" w14:textId="4138388F" w:rsidR="00722CA9" w:rsidRPr="00B740A0"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theme="minorHAnsi"/>
                <w:color w:val="000000"/>
              </w:rPr>
              <w:t>16</w:t>
            </w:r>
            <w:r w:rsidR="00F82BC6">
              <w:rPr>
                <w:rFonts w:ascii="Calibri" w:hAnsi="Calibri" w:cstheme="minorHAnsi"/>
                <w:color w:val="000000"/>
              </w:rPr>
              <w:t>8.8</w:t>
            </w:r>
          </w:p>
        </w:tc>
        <w:tc>
          <w:tcPr>
            <w:tcW w:w="1892" w:type="dxa"/>
            <w:noWrap/>
            <w:vAlign w:val="center"/>
          </w:tcPr>
          <w:p w14:paraId="4D2CE9F7" w14:textId="6233A332" w:rsidR="00722CA9" w:rsidRPr="00B740A0"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£185,</w:t>
            </w:r>
            <w:r w:rsidR="00F82BC6">
              <w:rPr>
                <w:rFonts w:ascii="Calibri" w:hAnsi="Calibri" w:cs="Calibri"/>
                <w:color w:val="000000"/>
              </w:rPr>
              <w:t>397</w:t>
            </w:r>
          </w:p>
        </w:tc>
        <w:tc>
          <w:tcPr>
            <w:tcW w:w="1893" w:type="dxa"/>
            <w:noWrap/>
            <w:vAlign w:val="center"/>
          </w:tcPr>
          <w:p w14:paraId="4F189620" w14:textId="191BF6A5" w:rsidR="00722CA9" w:rsidRPr="00F64045" w:rsidRDefault="00722CA9" w:rsidP="00722CA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16</w:t>
            </w:r>
            <w:r w:rsidR="00F82BC6">
              <w:rPr>
                <w:rFonts w:ascii="Calibri" w:hAnsi="Calibri" w:cs="Calibri"/>
                <w:color w:val="000000"/>
              </w:rPr>
              <w:t>7.1</w:t>
            </w:r>
          </w:p>
        </w:tc>
      </w:tr>
      <w:tr w:rsidR="00F82BC6" w:rsidRPr="00714950" w14:paraId="21F8EA46" w14:textId="77777777" w:rsidTr="006D395B">
        <w:trPr>
          <w:trHeight w:val="288"/>
        </w:trPr>
        <w:tc>
          <w:tcPr>
            <w:cnfStyle w:val="001000000000" w:firstRow="0" w:lastRow="0" w:firstColumn="1" w:lastColumn="0" w:oddVBand="0" w:evenVBand="0" w:oddHBand="0" w:evenHBand="0" w:firstRowFirstColumn="0" w:firstRowLastColumn="0" w:lastRowFirstColumn="0" w:lastRowLastColumn="0"/>
            <w:tcW w:w="1271" w:type="dxa"/>
            <w:noWrap/>
            <w:vAlign w:val="center"/>
          </w:tcPr>
          <w:p w14:paraId="14F13850" w14:textId="699887CA" w:rsidR="00F82BC6" w:rsidRPr="00722CA9" w:rsidRDefault="00F82BC6" w:rsidP="00722CA9">
            <w:pPr>
              <w:jc w:val="center"/>
              <w:rPr>
                <w:rFonts w:ascii="Calibri" w:hAnsi="Calibri" w:cs="Calibri"/>
                <w:color w:val="000000"/>
              </w:rPr>
            </w:pPr>
            <w:r>
              <w:rPr>
                <w:rFonts w:ascii="Calibri" w:hAnsi="Calibri" w:cs="Calibri"/>
                <w:color w:val="000000"/>
              </w:rPr>
              <w:t>2024</w:t>
            </w:r>
            <w:r w:rsidRPr="00722CA9">
              <w:rPr>
                <w:rFonts w:ascii="Calibri" w:hAnsi="Calibri" w:cs="Calibri"/>
                <w:color w:val="000000"/>
              </w:rPr>
              <w:t xml:space="preserve"> - </w:t>
            </w:r>
            <w:r>
              <w:rPr>
                <w:rFonts w:ascii="Calibri" w:hAnsi="Calibri" w:cs="Calibri"/>
                <w:color w:val="000000"/>
              </w:rPr>
              <w:t>Q3</w:t>
            </w:r>
          </w:p>
        </w:tc>
        <w:tc>
          <w:tcPr>
            <w:tcW w:w="1892" w:type="dxa"/>
            <w:noWrap/>
            <w:vAlign w:val="center"/>
          </w:tcPr>
          <w:p w14:paraId="050A1175" w14:textId="76EE951B" w:rsidR="00F82BC6" w:rsidRDefault="00F82BC6" w:rsidP="00722CA9">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rPr>
            </w:pPr>
            <w:r>
              <w:rPr>
                <w:rFonts w:ascii="Calibri" w:hAnsi="Calibri" w:cstheme="minorHAnsi"/>
                <w:color w:val="000000"/>
              </w:rPr>
              <w:t>£169,407</w:t>
            </w:r>
          </w:p>
        </w:tc>
        <w:tc>
          <w:tcPr>
            <w:tcW w:w="1892" w:type="dxa"/>
            <w:noWrap/>
            <w:vAlign w:val="center"/>
          </w:tcPr>
          <w:p w14:paraId="6E4C786A" w14:textId="03CAE7B7" w:rsidR="00F82BC6" w:rsidRDefault="00F82BC6" w:rsidP="00722CA9">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rPr>
            </w:pPr>
            <w:r>
              <w:rPr>
                <w:rFonts w:ascii="Calibri" w:hAnsi="Calibri" w:cstheme="minorHAnsi"/>
                <w:color w:val="000000"/>
              </w:rPr>
              <w:t>171.9</w:t>
            </w:r>
          </w:p>
        </w:tc>
        <w:tc>
          <w:tcPr>
            <w:tcW w:w="1892" w:type="dxa"/>
            <w:noWrap/>
            <w:vAlign w:val="center"/>
          </w:tcPr>
          <w:p w14:paraId="06B45C38" w14:textId="69261C49" w:rsidR="00F82BC6" w:rsidRDefault="00F82BC6" w:rsidP="00722C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£190,553</w:t>
            </w:r>
          </w:p>
        </w:tc>
        <w:tc>
          <w:tcPr>
            <w:tcW w:w="1893" w:type="dxa"/>
            <w:noWrap/>
            <w:vAlign w:val="center"/>
          </w:tcPr>
          <w:p w14:paraId="50427E6D" w14:textId="5D64A07C" w:rsidR="00F82BC6" w:rsidRDefault="00F82BC6" w:rsidP="00722C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171.8</w:t>
            </w:r>
          </w:p>
        </w:tc>
      </w:tr>
    </w:tbl>
    <w:p w14:paraId="5A6A969C" w14:textId="3A13F570" w:rsidR="00381E1E" w:rsidRPr="00B67235" w:rsidRDefault="008C1EDC">
      <w:pPr>
        <w:rPr>
          <w:i/>
          <w:sz w:val="20"/>
          <w:szCs w:val="20"/>
        </w:rPr>
      </w:pPr>
      <w:r w:rsidRPr="00B67235">
        <w:rPr>
          <w:i/>
          <w:sz w:val="20"/>
          <w:szCs w:val="20"/>
        </w:rPr>
        <w:t xml:space="preserve">Table 1: </w:t>
      </w:r>
      <w:r w:rsidR="00353B8B" w:rsidRPr="00B67235">
        <w:rPr>
          <w:i/>
          <w:sz w:val="20"/>
          <w:szCs w:val="20"/>
        </w:rPr>
        <w:t>Standardised r</w:t>
      </w:r>
      <w:r w:rsidR="003C13E3" w:rsidRPr="00B67235">
        <w:rPr>
          <w:i/>
          <w:sz w:val="20"/>
          <w:szCs w:val="20"/>
        </w:rPr>
        <w:t xml:space="preserve">esidential property price and </w:t>
      </w:r>
      <w:r w:rsidR="00353B8B" w:rsidRPr="00B67235">
        <w:rPr>
          <w:i/>
          <w:sz w:val="20"/>
          <w:szCs w:val="20"/>
        </w:rPr>
        <w:t xml:space="preserve">house price </w:t>
      </w:r>
      <w:r w:rsidR="003C13E3" w:rsidRPr="00B67235">
        <w:rPr>
          <w:i/>
          <w:sz w:val="20"/>
          <w:szCs w:val="20"/>
        </w:rPr>
        <w:t>index for</w:t>
      </w:r>
      <w:r w:rsidRPr="00B67235">
        <w:rPr>
          <w:i/>
          <w:sz w:val="20"/>
          <w:szCs w:val="20"/>
        </w:rPr>
        <w:t xml:space="preserve"> Armagh City, Banbridge and Craigavon Borough </w:t>
      </w:r>
      <w:r w:rsidR="008C513E" w:rsidRPr="00B67235">
        <w:rPr>
          <w:i/>
          <w:sz w:val="20"/>
          <w:szCs w:val="20"/>
        </w:rPr>
        <w:t xml:space="preserve">and Northern Ireland </w:t>
      </w:r>
      <w:r w:rsidR="003C13E3" w:rsidRPr="00B67235">
        <w:rPr>
          <w:i/>
          <w:sz w:val="20"/>
          <w:szCs w:val="20"/>
        </w:rPr>
        <w:t xml:space="preserve">Q1 </w:t>
      </w:r>
      <w:r w:rsidR="008C513E" w:rsidRPr="00B67235">
        <w:rPr>
          <w:i/>
          <w:sz w:val="20"/>
          <w:szCs w:val="20"/>
        </w:rPr>
        <w:t>2015 to</w:t>
      </w:r>
      <w:r w:rsidR="00BC3F49" w:rsidRPr="00B67235">
        <w:rPr>
          <w:i/>
          <w:sz w:val="20"/>
          <w:szCs w:val="20"/>
        </w:rPr>
        <w:t xml:space="preserve"> Q</w:t>
      </w:r>
      <w:r w:rsidR="00D52E12">
        <w:rPr>
          <w:i/>
          <w:sz w:val="20"/>
          <w:szCs w:val="20"/>
        </w:rPr>
        <w:t>3</w:t>
      </w:r>
      <w:r w:rsidR="00B5562A" w:rsidRPr="00B67235">
        <w:rPr>
          <w:i/>
          <w:sz w:val="20"/>
          <w:szCs w:val="20"/>
        </w:rPr>
        <w:t xml:space="preserve"> 202</w:t>
      </w:r>
      <w:r w:rsidR="00E64F91">
        <w:rPr>
          <w:i/>
          <w:sz w:val="20"/>
          <w:szCs w:val="20"/>
        </w:rPr>
        <w:t>4</w:t>
      </w:r>
      <w:r w:rsidRPr="00B67235">
        <w:rPr>
          <w:i/>
          <w:sz w:val="20"/>
          <w:szCs w:val="20"/>
        </w:rPr>
        <w:t xml:space="preserve">. Source: </w:t>
      </w:r>
      <w:r w:rsidR="008C513E" w:rsidRPr="00B67235">
        <w:rPr>
          <w:i/>
          <w:sz w:val="20"/>
          <w:szCs w:val="20"/>
        </w:rPr>
        <w:t>Land and Property Services</w:t>
      </w:r>
      <w:r w:rsidR="003C13E3" w:rsidRPr="00B67235">
        <w:rPr>
          <w:i/>
          <w:sz w:val="20"/>
          <w:szCs w:val="20"/>
        </w:rPr>
        <w:t>, NISRA</w:t>
      </w:r>
      <w:r w:rsidRPr="00B67235">
        <w:rPr>
          <w:i/>
          <w:sz w:val="20"/>
          <w:szCs w:val="20"/>
        </w:rPr>
        <w:t>.</w:t>
      </w:r>
    </w:p>
    <w:p w14:paraId="4620D73B" w14:textId="77777777" w:rsidR="008D2053" w:rsidRPr="00916A56" w:rsidRDefault="008D2053">
      <w:pPr>
        <w:rPr>
          <w:i/>
          <w:sz w:val="20"/>
          <w:szCs w:val="20"/>
          <w:highlight w:val="yellow"/>
        </w:rPr>
      </w:pPr>
    </w:p>
    <w:p w14:paraId="74EDD63C" w14:textId="77777777" w:rsidR="00BC3F49" w:rsidRPr="00916A56" w:rsidRDefault="00BC3F49">
      <w:pPr>
        <w:rPr>
          <w:i/>
          <w:sz w:val="20"/>
          <w:szCs w:val="20"/>
          <w:highlight w:val="yellow"/>
        </w:rPr>
      </w:pPr>
    </w:p>
    <w:p w14:paraId="6340B9E6" w14:textId="77777777" w:rsidR="00BC3F49" w:rsidRPr="00916A56" w:rsidRDefault="00BC3F49">
      <w:pPr>
        <w:rPr>
          <w:i/>
          <w:sz w:val="20"/>
          <w:szCs w:val="20"/>
          <w:highlight w:val="yellow"/>
        </w:rPr>
      </w:pPr>
    </w:p>
    <w:p w14:paraId="4528A15E" w14:textId="77777777" w:rsidR="006A7EB5" w:rsidRPr="00916A56" w:rsidRDefault="006A7EB5">
      <w:pPr>
        <w:rPr>
          <w:i/>
          <w:sz w:val="20"/>
          <w:szCs w:val="20"/>
          <w:highlight w:val="yellow"/>
        </w:rPr>
      </w:pPr>
    </w:p>
    <w:p w14:paraId="42C373CE" w14:textId="77777777" w:rsidR="006A7EB5" w:rsidRPr="00916A56" w:rsidRDefault="006A7EB5">
      <w:pPr>
        <w:rPr>
          <w:i/>
          <w:sz w:val="20"/>
          <w:szCs w:val="20"/>
          <w:highlight w:val="yellow"/>
        </w:rPr>
      </w:pPr>
    </w:p>
    <w:p w14:paraId="5F3E8BD0" w14:textId="77777777" w:rsidR="006A7EB5" w:rsidRPr="00916A56" w:rsidRDefault="006A7EB5">
      <w:pPr>
        <w:rPr>
          <w:i/>
          <w:sz w:val="20"/>
          <w:szCs w:val="20"/>
          <w:highlight w:val="yellow"/>
        </w:rPr>
      </w:pPr>
    </w:p>
    <w:p w14:paraId="7D868C91" w14:textId="77777777" w:rsidR="006A7EB5" w:rsidRPr="00916A56" w:rsidRDefault="006A7EB5">
      <w:pPr>
        <w:rPr>
          <w:i/>
          <w:sz w:val="20"/>
          <w:szCs w:val="20"/>
          <w:highlight w:val="yellow"/>
        </w:rPr>
      </w:pPr>
    </w:p>
    <w:p w14:paraId="2DCB86FF" w14:textId="77777777" w:rsidR="006A7EB5" w:rsidRPr="00916A56" w:rsidRDefault="006A7EB5">
      <w:pPr>
        <w:rPr>
          <w:i/>
          <w:sz w:val="20"/>
          <w:szCs w:val="20"/>
          <w:highlight w:val="yellow"/>
        </w:rPr>
      </w:pPr>
    </w:p>
    <w:p w14:paraId="7406A2E6" w14:textId="77777777" w:rsidR="006A7EB5" w:rsidRPr="00916A56" w:rsidRDefault="006A7EB5">
      <w:pPr>
        <w:rPr>
          <w:i/>
          <w:sz w:val="20"/>
          <w:szCs w:val="20"/>
          <w:highlight w:val="yellow"/>
        </w:rPr>
      </w:pPr>
    </w:p>
    <w:p w14:paraId="3DA44F96" w14:textId="77777777" w:rsidR="006A7EB5" w:rsidRPr="00916A56" w:rsidRDefault="006A7EB5">
      <w:pPr>
        <w:rPr>
          <w:i/>
          <w:sz w:val="20"/>
          <w:szCs w:val="20"/>
          <w:highlight w:val="yellow"/>
        </w:rPr>
      </w:pPr>
    </w:p>
    <w:p w14:paraId="638DF50C" w14:textId="77777777" w:rsidR="006A7EB5" w:rsidRPr="00916A56" w:rsidRDefault="006A7EB5">
      <w:pPr>
        <w:rPr>
          <w:i/>
          <w:sz w:val="20"/>
          <w:szCs w:val="20"/>
          <w:highlight w:val="yellow"/>
        </w:rPr>
      </w:pPr>
    </w:p>
    <w:p w14:paraId="57FEB91B" w14:textId="77777777" w:rsidR="006A7EB5" w:rsidRPr="00916A56" w:rsidRDefault="006A7EB5">
      <w:pPr>
        <w:rPr>
          <w:i/>
          <w:sz w:val="20"/>
          <w:szCs w:val="20"/>
          <w:highlight w:val="yellow"/>
        </w:rPr>
      </w:pPr>
    </w:p>
    <w:p w14:paraId="6210224A" w14:textId="77777777" w:rsidR="006A7EB5" w:rsidRPr="00916A56" w:rsidRDefault="006A7EB5">
      <w:pPr>
        <w:rPr>
          <w:i/>
          <w:sz w:val="20"/>
          <w:szCs w:val="20"/>
          <w:highlight w:val="yellow"/>
        </w:rPr>
      </w:pPr>
    </w:p>
    <w:p w14:paraId="200056CA" w14:textId="77777777" w:rsidR="006A7EB5" w:rsidRPr="00916A56" w:rsidRDefault="006A7EB5">
      <w:pPr>
        <w:rPr>
          <w:i/>
          <w:sz w:val="20"/>
          <w:szCs w:val="20"/>
          <w:highlight w:val="yellow"/>
        </w:rPr>
      </w:pPr>
    </w:p>
    <w:p w14:paraId="480E380F" w14:textId="77777777" w:rsidR="006A7EB5" w:rsidRPr="00916A56" w:rsidRDefault="006A7EB5">
      <w:pPr>
        <w:rPr>
          <w:i/>
          <w:sz w:val="20"/>
          <w:szCs w:val="20"/>
          <w:highlight w:val="yellow"/>
        </w:rPr>
      </w:pPr>
    </w:p>
    <w:p w14:paraId="64896586" w14:textId="77777777" w:rsidR="006A7EB5" w:rsidRPr="00916A56" w:rsidRDefault="006A7EB5">
      <w:pPr>
        <w:rPr>
          <w:i/>
          <w:sz w:val="20"/>
          <w:szCs w:val="20"/>
          <w:highlight w:val="yellow"/>
        </w:rPr>
      </w:pPr>
    </w:p>
    <w:p w14:paraId="0608A9DD" w14:textId="77777777" w:rsidR="006A7EB5" w:rsidRPr="00916A56" w:rsidRDefault="006A7EB5">
      <w:pPr>
        <w:rPr>
          <w:i/>
          <w:sz w:val="20"/>
          <w:szCs w:val="20"/>
          <w:highlight w:val="yellow"/>
        </w:rPr>
      </w:pPr>
    </w:p>
    <w:p w14:paraId="4361265A" w14:textId="77777777" w:rsidR="006A560C" w:rsidRPr="00916A56" w:rsidRDefault="006A560C">
      <w:pPr>
        <w:rPr>
          <w:i/>
          <w:sz w:val="20"/>
          <w:szCs w:val="20"/>
          <w:highlight w:val="yellow"/>
        </w:rPr>
        <w:sectPr w:rsidR="006A560C" w:rsidRPr="00916A56">
          <w:footerReference w:type="default" r:id="rId7"/>
          <w:pgSz w:w="11906" w:h="16838"/>
          <w:pgMar w:top="1440" w:right="1440" w:bottom="1440" w:left="1440" w:header="708" w:footer="708" w:gutter="0"/>
          <w:cols w:space="708"/>
          <w:docGrid w:linePitch="360"/>
        </w:sectPr>
      </w:pPr>
    </w:p>
    <w:p w14:paraId="561C1554" w14:textId="4BB749B1" w:rsidR="008D2053" w:rsidRPr="006E52A7" w:rsidRDefault="00D52E12" w:rsidP="008D2053">
      <w:pPr>
        <w:rPr>
          <w:noProof/>
          <w:highlight w:val="yellow"/>
          <w:lang w:eastAsia="en-GB"/>
        </w:rPr>
        <w:sectPr w:rsidR="008D2053" w:rsidRPr="006E52A7" w:rsidSect="008D2053">
          <w:pgSz w:w="16838" w:h="11906" w:orient="landscape"/>
          <w:pgMar w:top="1440" w:right="1440" w:bottom="1440" w:left="1440" w:header="708" w:footer="708" w:gutter="0"/>
          <w:cols w:space="708"/>
          <w:docGrid w:linePitch="360"/>
        </w:sectPr>
      </w:pPr>
      <w:r>
        <w:rPr>
          <w:noProof/>
        </w:rPr>
        <w:lastRenderedPageBreak/>
        <w:drawing>
          <wp:inline distT="0" distB="0" distL="0" distR="0" wp14:anchorId="31AC494F" wp14:editId="3F8AD0C9">
            <wp:extent cx="8863330" cy="5196840"/>
            <wp:effectExtent l="0" t="0" r="13970" b="3810"/>
            <wp:docPr id="31710789" name="Chart 1" descr="Standardised residential property prices for Armagh City, Banbridge and Craigavon Borough and Northern Ireland Q1 2005 to Q3 2024">
              <a:extLst xmlns:a="http://schemas.openxmlformats.org/drawingml/2006/main">
                <a:ext uri="{FF2B5EF4-FFF2-40B4-BE49-F238E27FC236}">
                  <a16:creationId xmlns:a16="http://schemas.microsoft.com/office/drawing/2014/main" id="{BF4862EA-236A-F05E-A5DC-D91D08F1F6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8D2053" w:rsidRPr="00B67235">
        <w:rPr>
          <w:i/>
          <w:sz w:val="20"/>
          <w:szCs w:val="20"/>
        </w:rPr>
        <w:t xml:space="preserve">Figure 1: </w:t>
      </w:r>
      <w:r w:rsidR="00353B8B" w:rsidRPr="00B67235">
        <w:rPr>
          <w:i/>
          <w:sz w:val="20"/>
          <w:szCs w:val="20"/>
        </w:rPr>
        <w:t xml:space="preserve">Standardised residential property price for </w:t>
      </w:r>
      <w:r w:rsidR="008D2053" w:rsidRPr="00B67235">
        <w:rPr>
          <w:i/>
          <w:sz w:val="20"/>
          <w:szCs w:val="20"/>
        </w:rPr>
        <w:t xml:space="preserve">Armagh City, Banbridge and Craigavon Borough and Northern Ireland Q1 </w:t>
      </w:r>
      <w:r w:rsidR="006A560C">
        <w:rPr>
          <w:i/>
          <w:sz w:val="20"/>
          <w:szCs w:val="20"/>
        </w:rPr>
        <w:t>200</w:t>
      </w:r>
      <w:r w:rsidR="006E52A7">
        <w:rPr>
          <w:i/>
          <w:sz w:val="20"/>
          <w:szCs w:val="20"/>
        </w:rPr>
        <w:t>5</w:t>
      </w:r>
      <w:r w:rsidR="006A560C">
        <w:rPr>
          <w:i/>
          <w:sz w:val="20"/>
          <w:szCs w:val="20"/>
        </w:rPr>
        <w:t xml:space="preserve"> to Q</w:t>
      </w:r>
      <w:r w:rsidR="00407E0F">
        <w:rPr>
          <w:i/>
          <w:sz w:val="20"/>
          <w:szCs w:val="20"/>
        </w:rPr>
        <w:t>3</w:t>
      </w:r>
      <w:r w:rsidR="005757B8" w:rsidRPr="00B67235">
        <w:rPr>
          <w:i/>
          <w:sz w:val="20"/>
          <w:szCs w:val="20"/>
        </w:rPr>
        <w:t xml:space="preserve"> 202</w:t>
      </w:r>
      <w:r w:rsidR="00B541C9">
        <w:rPr>
          <w:i/>
          <w:sz w:val="20"/>
          <w:szCs w:val="20"/>
        </w:rPr>
        <w:t>4</w:t>
      </w:r>
      <w:r w:rsidR="008D2053" w:rsidRPr="00B67235">
        <w:rPr>
          <w:i/>
          <w:sz w:val="20"/>
          <w:szCs w:val="20"/>
        </w:rPr>
        <w:t>. Source: Land and Property Services, NISRA.</w:t>
      </w:r>
    </w:p>
    <w:p w14:paraId="0E6B261D" w14:textId="743D7091" w:rsidR="00353B8B" w:rsidRPr="00B67235" w:rsidRDefault="00D52E12" w:rsidP="008D2053">
      <w:pPr>
        <w:rPr>
          <w:i/>
          <w:sz w:val="20"/>
          <w:szCs w:val="20"/>
        </w:rPr>
        <w:sectPr w:rsidR="00353B8B" w:rsidRPr="00B67235" w:rsidSect="008D2053">
          <w:pgSz w:w="16838" w:h="11906" w:orient="landscape"/>
          <w:pgMar w:top="1440" w:right="1440" w:bottom="1440" w:left="1440" w:header="709" w:footer="709" w:gutter="0"/>
          <w:cols w:space="708"/>
          <w:docGrid w:linePitch="360"/>
        </w:sectPr>
      </w:pPr>
      <w:r>
        <w:rPr>
          <w:noProof/>
        </w:rPr>
        <w:lastRenderedPageBreak/>
        <w:drawing>
          <wp:inline distT="0" distB="0" distL="0" distR="0" wp14:anchorId="11D6A366" wp14:editId="676CB105">
            <wp:extent cx="8582025" cy="5248275"/>
            <wp:effectExtent l="0" t="0" r="9525" b="9525"/>
            <wp:docPr id="1444723926" name="Chart 1" descr="House Price Index for Armagh City, Banbridge and Craigavon Borough and Northern Ireland Q1 2005 to Q3 2024">
              <a:extLst xmlns:a="http://schemas.openxmlformats.org/drawingml/2006/main">
                <a:ext uri="{FF2B5EF4-FFF2-40B4-BE49-F238E27FC236}">
                  <a16:creationId xmlns:a16="http://schemas.microsoft.com/office/drawing/2014/main" id="{6EEBB646-3142-F764-D4A7-5DF6811989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8D2053" w:rsidRPr="003810A8">
        <w:rPr>
          <w:i/>
          <w:sz w:val="20"/>
          <w:szCs w:val="20"/>
        </w:rPr>
        <w:t>Figure</w:t>
      </w:r>
      <w:r w:rsidR="00353B8B" w:rsidRPr="003810A8">
        <w:rPr>
          <w:i/>
          <w:sz w:val="20"/>
          <w:szCs w:val="20"/>
        </w:rPr>
        <w:t xml:space="preserve"> 2</w:t>
      </w:r>
      <w:r w:rsidR="008D2053" w:rsidRPr="003810A8">
        <w:rPr>
          <w:i/>
          <w:sz w:val="20"/>
          <w:szCs w:val="20"/>
        </w:rPr>
        <w:t xml:space="preserve">: </w:t>
      </w:r>
      <w:r w:rsidR="00353B8B" w:rsidRPr="003810A8">
        <w:rPr>
          <w:i/>
          <w:sz w:val="20"/>
          <w:szCs w:val="20"/>
        </w:rPr>
        <w:t>Hou</w:t>
      </w:r>
      <w:r w:rsidR="002703D5" w:rsidRPr="003810A8">
        <w:rPr>
          <w:i/>
          <w:sz w:val="20"/>
          <w:szCs w:val="20"/>
        </w:rPr>
        <w:t>s</w:t>
      </w:r>
      <w:r w:rsidR="00353B8B" w:rsidRPr="003810A8">
        <w:rPr>
          <w:i/>
          <w:sz w:val="20"/>
          <w:szCs w:val="20"/>
        </w:rPr>
        <w:t xml:space="preserve">e price </w:t>
      </w:r>
      <w:r w:rsidR="008D2053" w:rsidRPr="003810A8">
        <w:rPr>
          <w:i/>
          <w:sz w:val="20"/>
          <w:szCs w:val="20"/>
        </w:rPr>
        <w:t xml:space="preserve">index for Armagh City, Banbridge and Craigavon Borough and Northern Ireland Q1 </w:t>
      </w:r>
      <w:r w:rsidR="002F5387" w:rsidRPr="003810A8">
        <w:rPr>
          <w:i/>
          <w:sz w:val="20"/>
          <w:szCs w:val="20"/>
        </w:rPr>
        <w:t>200</w:t>
      </w:r>
      <w:r w:rsidR="006E52A7">
        <w:rPr>
          <w:i/>
          <w:sz w:val="20"/>
          <w:szCs w:val="20"/>
        </w:rPr>
        <w:t>5</w:t>
      </w:r>
      <w:r w:rsidR="002F5387" w:rsidRPr="003810A8">
        <w:rPr>
          <w:i/>
          <w:sz w:val="20"/>
          <w:szCs w:val="20"/>
        </w:rPr>
        <w:t xml:space="preserve"> to Q</w:t>
      </w:r>
      <w:r w:rsidR="00407E0F">
        <w:rPr>
          <w:i/>
          <w:sz w:val="20"/>
          <w:szCs w:val="20"/>
        </w:rPr>
        <w:t>3</w:t>
      </w:r>
      <w:r w:rsidR="005757B8" w:rsidRPr="003810A8">
        <w:rPr>
          <w:i/>
          <w:sz w:val="20"/>
          <w:szCs w:val="20"/>
        </w:rPr>
        <w:t xml:space="preserve"> 202</w:t>
      </w:r>
      <w:r w:rsidR="00F64045">
        <w:rPr>
          <w:i/>
          <w:sz w:val="20"/>
          <w:szCs w:val="20"/>
        </w:rPr>
        <w:t>4</w:t>
      </w:r>
      <w:r w:rsidR="008D2053" w:rsidRPr="003810A8">
        <w:rPr>
          <w:i/>
          <w:sz w:val="20"/>
          <w:szCs w:val="20"/>
        </w:rPr>
        <w:t>. Source: Land and Property Services, NISRA.</w:t>
      </w:r>
    </w:p>
    <w:p w14:paraId="3FA1E95F" w14:textId="4B8D0953" w:rsidR="00280A60" w:rsidRPr="00907375" w:rsidRDefault="00EF616C" w:rsidP="008D2053">
      <w:r w:rsidRPr="00907375">
        <w:lastRenderedPageBreak/>
        <w:t xml:space="preserve">The </w:t>
      </w:r>
      <w:r w:rsidR="005757B8" w:rsidRPr="00907375">
        <w:t xml:space="preserve">total </w:t>
      </w:r>
      <w:r w:rsidR="0058671C" w:rsidRPr="00907375">
        <w:t>number of verified residential property sales in Armagh City, Banbridge and C</w:t>
      </w:r>
      <w:r w:rsidR="00FD06D7" w:rsidRPr="00907375">
        <w:t>r</w:t>
      </w:r>
      <w:r w:rsidR="00114D48" w:rsidRPr="00907375">
        <w:t xml:space="preserve">aigavon Borough was </w:t>
      </w:r>
      <w:r w:rsidR="00625A8B">
        <w:t>2,</w:t>
      </w:r>
      <w:r w:rsidR="006E3009">
        <w:t>4</w:t>
      </w:r>
      <w:r w:rsidR="00230A92">
        <w:t>9</w:t>
      </w:r>
      <w:r w:rsidR="006374EE">
        <w:t>6</w:t>
      </w:r>
      <w:r w:rsidR="00625A8B">
        <w:t xml:space="preserve"> in 202</w:t>
      </w:r>
      <w:r w:rsidR="006E3009">
        <w:t>3</w:t>
      </w:r>
      <w:r w:rsidR="00625A8B">
        <w:t xml:space="preserve"> which was a fall of 1</w:t>
      </w:r>
      <w:r w:rsidR="00F15DC8">
        <w:t>5</w:t>
      </w:r>
      <w:r w:rsidR="00625A8B">
        <w:t>% on 202</w:t>
      </w:r>
      <w:r w:rsidR="006E3009">
        <w:t>2</w:t>
      </w:r>
      <w:r w:rsidR="00230A92">
        <w:t xml:space="preserve">. </w:t>
      </w:r>
      <w:r w:rsidR="00625A8B">
        <w:t xml:space="preserve"> </w:t>
      </w:r>
      <w:r w:rsidR="00ED6E70">
        <w:t xml:space="preserve">Of the total 2023 sales, </w:t>
      </w:r>
      <w:r w:rsidR="00F15DC8">
        <w:t xml:space="preserve">approximately </w:t>
      </w:r>
      <w:r w:rsidR="00ED6E70">
        <w:t>3</w:t>
      </w:r>
      <w:r w:rsidR="00F15DC8">
        <w:t>6</w:t>
      </w:r>
      <w:r w:rsidR="00ED6E70">
        <w:t xml:space="preserve">% were semi-detached properties and 33% were detached properties.  Terrace properties accounted for 29% and apartments just 2%. </w:t>
      </w:r>
    </w:p>
    <w:p w14:paraId="4182BC40" w14:textId="0D5E01DE" w:rsidR="0066786B" w:rsidRPr="008940FB" w:rsidRDefault="00280A60" w:rsidP="008D2053">
      <w:r w:rsidRPr="00907375">
        <w:t xml:space="preserve">The provisional figures for </w:t>
      </w:r>
      <w:r w:rsidR="00CD5C85" w:rsidRPr="00907375">
        <w:t>Q</w:t>
      </w:r>
      <w:r w:rsidR="006374EE">
        <w:t>3</w:t>
      </w:r>
      <w:r w:rsidR="00CD5C85" w:rsidRPr="00907375">
        <w:t xml:space="preserve"> 202</w:t>
      </w:r>
      <w:r w:rsidR="00F15DC8">
        <w:t>4</w:t>
      </w:r>
      <w:r w:rsidRPr="00907375">
        <w:t xml:space="preserve"> show </w:t>
      </w:r>
      <w:r w:rsidR="006374EE">
        <w:t>211</w:t>
      </w:r>
      <w:r w:rsidR="0041571F" w:rsidRPr="00907375">
        <w:t xml:space="preserve"> </w:t>
      </w:r>
      <w:r w:rsidR="00647E43" w:rsidRPr="00907375">
        <w:t>detached properties were sold in Armagh City,</w:t>
      </w:r>
      <w:r w:rsidR="00FD06D7" w:rsidRPr="00907375">
        <w:t xml:space="preserve"> Banbridge and Craigavon</w:t>
      </w:r>
      <w:r w:rsidR="004919D3" w:rsidRPr="00907375">
        <w:t xml:space="preserve"> Borough</w:t>
      </w:r>
      <w:r w:rsidR="00FD06D7" w:rsidRPr="00907375">
        <w:t xml:space="preserve"> </w:t>
      </w:r>
      <w:r w:rsidR="00CD5C85" w:rsidRPr="00907375">
        <w:t xml:space="preserve">between </w:t>
      </w:r>
      <w:r w:rsidR="006374EE">
        <w:t>July</w:t>
      </w:r>
      <w:r w:rsidR="00230A92">
        <w:t xml:space="preserve"> - </w:t>
      </w:r>
      <w:r w:rsidR="006374EE">
        <w:t>September</w:t>
      </w:r>
      <w:r w:rsidR="00435597">
        <w:t xml:space="preserve"> </w:t>
      </w:r>
      <w:r w:rsidR="0041571F" w:rsidRPr="00907375">
        <w:t>202</w:t>
      </w:r>
      <w:r w:rsidR="00F15DC8">
        <w:t>4</w:t>
      </w:r>
      <w:r w:rsidR="0041571F" w:rsidRPr="00907375">
        <w:t>, accounting for</w:t>
      </w:r>
      <w:r w:rsidR="006F549C" w:rsidRPr="00907375">
        <w:t xml:space="preserve"> </w:t>
      </w:r>
      <w:r w:rsidR="00F15DC8">
        <w:t>3</w:t>
      </w:r>
      <w:r w:rsidR="006374EE">
        <w:t>5.3</w:t>
      </w:r>
      <w:r w:rsidR="00647E43" w:rsidRPr="00907375">
        <w:t>% of all residential property sales in the borough</w:t>
      </w:r>
      <w:r w:rsidR="00230A92">
        <w:t>.</w:t>
      </w:r>
      <w:r w:rsidR="00230A92" w:rsidRPr="00230A92">
        <w:t xml:space="preserve"> </w:t>
      </w:r>
      <w:r w:rsidR="00435597">
        <w:t>Semi-detached</w:t>
      </w:r>
      <w:r w:rsidR="004A1E55" w:rsidRPr="00907375">
        <w:t xml:space="preserve"> properties accounted for </w:t>
      </w:r>
      <w:r w:rsidR="006374EE">
        <w:t>approximately 34.6% o</w:t>
      </w:r>
      <w:r w:rsidR="00907375">
        <w:t xml:space="preserve">f total sales </w:t>
      </w:r>
      <w:r w:rsidR="006374EE">
        <w:t>with 207 sales</w:t>
      </w:r>
      <w:r w:rsidR="004A1E55" w:rsidRPr="00907375">
        <w:t xml:space="preserve"> while </w:t>
      </w:r>
      <w:r w:rsidR="006374EE">
        <w:t xml:space="preserve">Terrace properties accounted for almost 27% of total sales and </w:t>
      </w:r>
      <w:r w:rsidRPr="00907375">
        <w:t>Apartments</w:t>
      </w:r>
      <w:r w:rsidR="00F15DC8">
        <w:t xml:space="preserve"> </w:t>
      </w:r>
      <w:r w:rsidR="006374EE">
        <w:t>accounted for</w:t>
      </w:r>
      <w:r w:rsidRPr="00907375">
        <w:t xml:space="preserve"> </w:t>
      </w:r>
      <w:r w:rsidR="006374EE">
        <w:t>3.2</w:t>
      </w:r>
      <w:r w:rsidR="00CD25E3" w:rsidRPr="00907375">
        <w:t>% of verified residential property</w:t>
      </w:r>
      <w:r w:rsidR="0041571F" w:rsidRPr="00907375">
        <w:t xml:space="preserve"> sales in the borough in </w:t>
      </w:r>
      <w:r w:rsidR="004A1E55" w:rsidRPr="00907375">
        <w:t>Q</w:t>
      </w:r>
      <w:r w:rsidR="006374EE">
        <w:t>3</w:t>
      </w:r>
      <w:r w:rsidR="004A1E55" w:rsidRPr="00907375">
        <w:t xml:space="preserve"> 202</w:t>
      </w:r>
      <w:r w:rsidR="00E00A77">
        <w:t>4</w:t>
      </w:r>
      <w:r w:rsidR="00230A92">
        <w:rPr>
          <w:rStyle w:val="FootnoteReference"/>
        </w:rPr>
        <w:footnoteReference w:id="3"/>
      </w:r>
      <w:r w:rsidR="00CD25E3" w:rsidRPr="00907375">
        <w:t>.</w:t>
      </w:r>
      <w:r w:rsidR="00230A92" w:rsidRPr="00230A92">
        <w:t xml:space="preserve"> </w:t>
      </w:r>
    </w:p>
    <w:tbl>
      <w:tblPr>
        <w:tblStyle w:val="GridTable1Light"/>
        <w:tblW w:w="9038" w:type="dxa"/>
        <w:tblLook w:val="04A0" w:firstRow="1" w:lastRow="0" w:firstColumn="1" w:lastColumn="0" w:noHBand="0" w:noVBand="1"/>
        <w:tblCaption w:val="Number of verified residential property sales by type in Armagh City, Banbridge and Craigavon Borough Q1 2015 to Q4 2021"/>
      </w:tblPr>
      <w:tblGrid>
        <w:gridCol w:w="1338"/>
        <w:gridCol w:w="1540"/>
        <w:gridCol w:w="1540"/>
        <w:gridCol w:w="1540"/>
        <w:gridCol w:w="1540"/>
        <w:gridCol w:w="1540"/>
      </w:tblGrid>
      <w:tr w:rsidR="005757B8" w:rsidRPr="00916A56" w14:paraId="6C00C647" w14:textId="77777777" w:rsidTr="00BE2588">
        <w:trPr>
          <w:cnfStyle w:val="100000000000" w:firstRow="1" w:lastRow="0" w:firstColumn="0" w:lastColumn="0" w:oddVBand="0" w:evenVBand="0" w:oddHBand="0" w:evenHBand="0" w:firstRowFirstColumn="0" w:firstRowLastColumn="0" w:lastRowFirstColumn="0" w:lastRowLastColumn="0"/>
          <w:trHeight w:val="1308"/>
          <w:tblHeader/>
        </w:trPr>
        <w:tc>
          <w:tcPr>
            <w:cnfStyle w:val="001000000000" w:firstRow="0" w:lastRow="0" w:firstColumn="1" w:lastColumn="0" w:oddVBand="0" w:evenVBand="0" w:oddHBand="0" w:evenHBand="0" w:firstRowFirstColumn="0" w:firstRowLastColumn="0" w:lastRowFirstColumn="0" w:lastRowLastColumn="0"/>
            <w:tcW w:w="1338" w:type="dxa"/>
            <w:noWrap/>
            <w:hideMark/>
          </w:tcPr>
          <w:p w14:paraId="4F7CBBD1" w14:textId="77777777" w:rsidR="005757B8" w:rsidRPr="003E3F03" w:rsidRDefault="005757B8" w:rsidP="005757B8">
            <w:pPr>
              <w:jc w:val="center"/>
              <w:rPr>
                <w:rFonts w:ascii="Calibri" w:eastAsia="Times New Roman" w:hAnsi="Calibri" w:cs="Calibri"/>
                <w:lang w:eastAsia="en-GB"/>
              </w:rPr>
            </w:pPr>
            <w:r w:rsidRPr="003E3F03">
              <w:rPr>
                <w:rFonts w:ascii="Calibri" w:eastAsia="Times New Roman" w:hAnsi="Calibri" w:cs="Calibri"/>
                <w:lang w:eastAsia="en-GB"/>
              </w:rPr>
              <w:t> </w:t>
            </w:r>
          </w:p>
        </w:tc>
        <w:tc>
          <w:tcPr>
            <w:tcW w:w="1540" w:type="dxa"/>
            <w:noWrap/>
            <w:hideMark/>
          </w:tcPr>
          <w:p w14:paraId="7F3E0F39" w14:textId="77777777" w:rsidR="005757B8" w:rsidRPr="003E3F03" w:rsidRDefault="005757B8" w:rsidP="005757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p>
          <w:p w14:paraId="0ADAF6CB" w14:textId="77777777" w:rsidR="005757B8" w:rsidRPr="003E3F03" w:rsidRDefault="005757B8" w:rsidP="005757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Apartments</w:t>
            </w:r>
          </w:p>
        </w:tc>
        <w:tc>
          <w:tcPr>
            <w:tcW w:w="1540" w:type="dxa"/>
            <w:hideMark/>
          </w:tcPr>
          <w:p w14:paraId="0D3A919B" w14:textId="77777777" w:rsidR="005757B8" w:rsidRPr="003E3F03" w:rsidRDefault="005757B8" w:rsidP="005757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p>
          <w:p w14:paraId="1AF0A234" w14:textId="77777777" w:rsidR="005757B8" w:rsidRPr="003E3F03" w:rsidRDefault="005757B8" w:rsidP="005757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Detached</w:t>
            </w:r>
          </w:p>
        </w:tc>
        <w:tc>
          <w:tcPr>
            <w:tcW w:w="1540" w:type="dxa"/>
            <w:hideMark/>
          </w:tcPr>
          <w:p w14:paraId="1C8B75E4" w14:textId="77777777" w:rsidR="005757B8" w:rsidRPr="003E3F03" w:rsidRDefault="005757B8" w:rsidP="005757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p>
          <w:p w14:paraId="2D366CDE" w14:textId="77777777" w:rsidR="005757B8" w:rsidRPr="003E3F03" w:rsidRDefault="005757B8" w:rsidP="005757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Semi-detached</w:t>
            </w:r>
          </w:p>
        </w:tc>
        <w:tc>
          <w:tcPr>
            <w:tcW w:w="1540" w:type="dxa"/>
            <w:hideMark/>
          </w:tcPr>
          <w:p w14:paraId="1BFB4D9A" w14:textId="77777777" w:rsidR="005757B8" w:rsidRPr="003E3F03" w:rsidRDefault="005757B8" w:rsidP="005757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p>
          <w:p w14:paraId="12DCD554" w14:textId="77777777" w:rsidR="005757B8" w:rsidRPr="003E3F03" w:rsidRDefault="005757B8" w:rsidP="005757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Terrace</w:t>
            </w:r>
          </w:p>
        </w:tc>
        <w:tc>
          <w:tcPr>
            <w:tcW w:w="1540" w:type="dxa"/>
            <w:hideMark/>
          </w:tcPr>
          <w:p w14:paraId="3CF0BCD3" w14:textId="77777777" w:rsidR="005757B8" w:rsidRPr="003E3F03" w:rsidRDefault="005757B8" w:rsidP="005757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p>
          <w:p w14:paraId="7A88C52A" w14:textId="77777777" w:rsidR="005757B8" w:rsidRPr="003E3F03" w:rsidRDefault="005757B8" w:rsidP="005757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Total</w:t>
            </w:r>
          </w:p>
        </w:tc>
      </w:tr>
      <w:tr w:rsidR="005757B8" w:rsidRPr="00916A56" w14:paraId="77936A0E" w14:textId="77777777" w:rsidTr="005757B8">
        <w:trPr>
          <w:trHeight w:val="360"/>
        </w:trPr>
        <w:tc>
          <w:tcPr>
            <w:cnfStyle w:val="001000000000" w:firstRow="0" w:lastRow="0" w:firstColumn="1" w:lastColumn="0" w:oddVBand="0" w:evenVBand="0" w:oddHBand="0" w:evenHBand="0" w:firstRowFirstColumn="0" w:firstRowLastColumn="0" w:lastRowFirstColumn="0" w:lastRowLastColumn="0"/>
            <w:tcW w:w="1338" w:type="dxa"/>
            <w:noWrap/>
            <w:hideMark/>
          </w:tcPr>
          <w:p w14:paraId="74C392E4" w14:textId="77777777" w:rsidR="005757B8" w:rsidRPr="003E3F03" w:rsidRDefault="005757B8" w:rsidP="005757B8">
            <w:pPr>
              <w:jc w:val="center"/>
              <w:rPr>
                <w:rFonts w:ascii="Calibri" w:eastAsia="Times New Roman" w:hAnsi="Calibri" w:cs="Calibri"/>
                <w:lang w:eastAsia="en-GB"/>
              </w:rPr>
            </w:pPr>
            <w:r w:rsidRPr="003E3F03">
              <w:rPr>
                <w:rFonts w:ascii="Calibri" w:eastAsia="Times New Roman" w:hAnsi="Calibri" w:cs="Calibri"/>
                <w:lang w:eastAsia="en-GB"/>
              </w:rPr>
              <w:t>2015 – Q1</w:t>
            </w:r>
          </w:p>
        </w:tc>
        <w:tc>
          <w:tcPr>
            <w:tcW w:w="1540" w:type="dxa"/>
            <w:noWrap/>
            <w:hideMark/>
          </w:tcPr>
          <w:p w14:paraId="0DE733D6"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5</w:t>
            </w:r>
          </w:p>
        </w:tc>
        <w:tc>
          <w:tcPr>
            <w:tcW w:w="1540" w:type="dxa"/>
            <w:hideMark/>
          </w:tcPr>
          <w:p w14:paraId="79BC47B8"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188</w:t>
            </w:r>
          </w:p>
        </w:tc>
        <w:tc>
          <w:tcPr>
            <w:tcW w:w="1540" w:type="dxa"/>
            <w:hideMark/>
          </w:tcPr>
          <w:p w14:paraId="471859C6"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191</w:t>
            </w:r>
          </w:p>
        </w:tc>
        <w:tc>
          <w:tcPr>
            <w:tcW w:w="1540" w:type="dxa"/>
            <w:hideMark/>
          </w:tcPr>
          <w:p w14:paraId="0C38EB8E"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131</w:t>
            </w:r>
          </w:p>
        </w:tc>
        <w:tc>
          <w:tcPr>
            <w:tcW w:w="1540" w:type="dxa"/>
            <w:hideMark/>
          </w:tcPr>
          <w:p w14:paraId="7EB16C44"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515</w:t>
            </w:r>
          </w:p>
        </w:tc>
      </w:tr>
      <w:tr w:rsidR="005757B8" w:rsidRPr="00916A56" w14:paraId="5AFE9DE2" w14:textId="77777777" w:rsidTr="005757B8">
        <w:trPr>
          <w:trHeight w:val="360"/>
        </w:trPr>
        <w:tc>
          <w:tcPr>
            <w:cnfStyle w:val="001000000000" w:firstRow="0" w:lastRow="0" w:firstColumn="1" w:lastColumn="0" w:oddVBand="0" w:evenVBand="0" w:oddHBand="0" w:evenHBand="0" w:firstRowFirstColumn="0" w:firstRowLastColumn="0" w:lastRowFirstColumn="0" w:lastRowLastColumn="0"/>
            <w:tcW w:w="1338" w:type="dxa"/>
            <w:noWrap/>
            <w:hideMark/>
          </w:tcPr>
          <w:p w14:paraId="6D5896F1" w14:textId="77777777" w:rsidR="005757B8" w:rsidRPr="003E3F03" w:rsidRDefault="005757B8" w:rsidP="005757B8">
            <w:pPr>
              <w:jc w:val="center"/>
              <w:rPr>
                <w:rFonts w:ascii="Calibri" w:eastAsia="Times New Roman" w:hAnsi="Calibri" w:cs="Calibri"/>
                <w:lang w:eastAsia="en-GB"/>
              </w:rPr>
            </w:pPr>
            <w:r w:rsidRPr="003E3F03">
              <w:rPr>
                <w:rFonts w:ascii="Calibri" w:eastAsia="Times New Roman" w:hAnsi="Calibri" w:cs="Calibri"/>
                <w:lang w:eastAsia="en-GB"/>
              </w:rPr>
              <w:t>2015 – Q2</w:t>
            </w:r>
          </w:p>
        </w:tc>
        <w:tc>
          <w:tcPr>
            <w:tcW w:w="1540" w:type="dxa"/>
            <w:noWrap/>
            <w:hideMark/>
          </w:tcPr>
          <w:p w14:paraId="7AA37F21"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10</w:t>
            </w:r>
          </w:p>
        </w:tc>
        <w:tc>
          <w:tcPr>
            <w:tcW w:w="1540" w:type="dxa"/>
            <w:hideMark/>
          </w:tcPr>
          <w:p w14:paraId="6D50FE43"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208</w:t>
            </w:r>
          </w:p>
        </w:tc>
        <w:tc>
          <w:tcPr>
            <w:tcW w:w="1540" w:type="dxa"/>
            <w:hideMark/>
          </w:tcPr>
          <w:p w14:paraId="5737321F"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197</w:t>
            </w:r>
          </w:p>
        </w:tc>
        <w:tc>
          <w:tcPr>
            <w:tcW w:w="1540" w:type="dxa"/>
            <w:hideMark/>
          </w:tcPr>
          <w:p w14:paraId="7B8AAABF"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151</w:t>
            </w:r>
          </w:p>
        </w:tc>
        <w:tc>
          <w:tcPr>
            <w:tcW w:w="1540" w:type="dxa"/>
            <w:hideMark/>
          </w:tcPr>
          <w:p w14:paraId="11C55946"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566</w:t>
            </w:r>
          </w:p>
        </w:tc>
      </w:tr>
      <w:tr w:rsidR="005757B8" w:rsidRPr="00916A56" w14:paraId="55A91067" w14:textId="77777777" w:rsidTr="005757B8">
        <w:trPr>
          <w:trHeight w:val="360"/>
        </w:trPr>
        <w:tc>
          <w:tcPr>
            <w:cnfStyle w:val="001000000000" w:firstRow="0" w:lastRow="0" w:firstColumn="1" w:lastColumn="0" w:oddVBand="0" w:evenVBand="0" w:oddHBand="0" w:evenHBand="0" w:firstRowFirstColumn="0" w:firstRowLastColumn="0" w:lastRowFirstColumn="0" w:lastRowLastColumn="0"/>
            <w:tcW w:w="1338" w:type="dxa"/>
            <w:noWrap/>
            <w:hideMark/>
          </w:tcPr>
          <w:p w14:paraId="74FBBD91" w14:textId="77777777" w:rsidR="005757B8" w:rsidRPr="003E3F03" w:rsidRDefault="005757B8" w:rsidP="005757B8">
            <w:pPr>
              <w:jc w:val="center"/>
              <w:rPr>
                <w:rFonts w:ascii="Calibri" w:eastAsia="Times New Roman" w:hAnsi="Calibri" w:cs="Calibri"/>
                <w:lang w:eastAsia="en-GB"/>
              </w:rPr>
            </w:pPr>
            <w:r w:rsidRPr="003E3F03">
              <w:rPr>
                <w:rFonts w:ascii="Calibri" w:eastAsia="Times New Roman" w:hAnsi="Calibri" w:cs="Calibri"/>
                <w:lang w:eastAsia="en-GB"/>
              </w:rPr>
              <w:t>2015 – Q3</w:t>
            </w:r>
          </w:p>
        </w:tc>
        <w:tc>
          <w:tcPr>
            <w:tcW w:w="1540" w:type="dxa"/>
            <w:noWrap/>
            <w:hideMark/>
          </w:tcPr>
          <w:p w14:paraId="78A4550A"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9</w:t>
            </w:r>
          </w:p>
        </w:tc>
        <w:tc>
          <w:tcPr>
            <w:tcW w:w="1540" w:type="dxa"/>
            <w:hideMark/>
          </w:tcPr>
          <w:p w14:paraId="535F5A17"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225</w:t>
            </w:r>
          </w:p>
        </w:tc>
        <w:tc>
          <w:tcPr>
            <w:tcW w:w="1540" w:type="dxa"/>
            <w:hideMark/>
          </w:tcPr>
          <w:p w14:paraId="0C100F22"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227</w:t>
            </w:r>
          </w:p>
        </w:tc>
        <w:tc>
          <w:tcPr>
            <w:tcW w:w="1540" w:type="dxa"/>
            <w:hideMark/>
          </w:tcPr>
          <w:p w14:paraId="5F21389B"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152</w:t>
            </w:r>
          </w:p>
        </w:tc>
        <w:tc>
          <w:tcPr>
            <w:tcW w:w="1540" w:type="dxa"/>
            <w:hideMark/>
          </w:tcPr>
          <w:p w14:paraId="1885876D"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613</w:t>
            </w:r>
          </w:p>
        </w:tc>
      </w:tr>
      <w:tr w:rsidR="005757B8" w:rsidRPr="00916A56" w14:paraId="448096BB" w14:textId="77777777" w:rsidTr="005757B8">
        <w:trPr>
          <w:trHeight w:val="360"/>
        </w:trPr>
        <w:tc>
          <w:tcPr>
            <w:cnfStyle w:val="001000000000" w:firstRow="0" w:lastRow="0" w:firstColumn="1" w:lastColumn="0" w:oddVBand="0" w:evenVBand="0" w:oddHBand="0" w:evenHBand="0" w:firstRowFirstColumn="0" w:firstRowLastColumn="0" w:lastRowFirstColumn="0" w:lastRowLastColumn="0"/>
            <w:tcW w:w="1338" w:type="dxa"/>
            <w:noWrap/>
            <w:hideMark/>
          </w:tcPr>
          <w:p w14:paraId="51E714E9" w14:textId="77777777" w:rsidR="005757B8" w:rsidRPr="003E3F03" w:rsidRDefault="005757B8" w:rsidP="005757B8">
            <w:pPr>
              <w:jc w:val="center"/>
              <w:rPr>
                <w:rFonts w:ascii="Calibri" w:eastAsia="Times New Roman" w:hAnsi="Calibri" w:cs="Calibri"/>
                <w:lang w:eastAsia="en-GB"/>
              </w:rPr>
            </w:pPr>
            <w:r w:rsidRPr="003E3F03">
              <w:rPr>
                <w:rFonts w:ascii="Calibri" w:eastAsia="Times New Roman" w:hAnsi="Calibri" w:cs="Calibri"/>
                <w:lang w:eastAsia="en-GB"/>
              </w:rPr>
              <w:t>2015 – Q4</w:t>
            </w:r>
          </w:p>
        </w:tc>
        <w:tc>
          <w:tcPr>
            <w:tcW w:w="1540" w:type="dxa"/>
            <w:noWrap/>
            <w:hideMark/>
          </w:tcPr>
          <w:p w14:paraId="291A1227"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7</w:t>
            </w:r>
          </w:p>
        </w:tc>
        <w:tc>
          <w:tcPr>
            <w:tcW w:w="1540" w:type="dxa"/>
            <w:hideMark/>
          </w:tcPr>
          <w:p w14:paraId="68371E09"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234</w:t>
            </w:r>
          </w:p>
        </w:tc>
        <w:tc>
          <w:tcPr>
            <w:tcW w:w="1540" w:type="dxa"/>
            <w:hideMark/>
          </w:tcPr>
          <w:p w14:paraId="25881E21"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267</w:t>
            </w:r>
          </w:p>
        </w:tc>
        <w:tc>
          <w:tcPr>
            <w:tcW w:w="1540" w:type="dxa"/>
            <w:hideMark/>
          </w:tcPr>
          <w:p w14:paraId="71F8B02D"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175</w:t>
            </w:r>
          </w:p>
        </w:tc>
        <w:tc>
          <w:tcPr>
            <w:tcW w:w="1540" w:type="dxa"/>
            <w:hideMark/>
          </w:tcPr>
          <w:p w14:paraId="6C8BA688"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683</w:t>
            </w:r>
          </w:p>
        </w:tc>
      </w:tr>
      <w:tr w:rsidR="005757B8" w:rsidRPr="00916A56" w14:paraId="1B7036E4" w14:textId="77777777" w:rsidTr="005757B8">
        <w:trPr>
          <w:trHeight w:val="360"/>
        </w:trPr>
        <w:tc>
          <w:tcPr>
            <w:cnfStyle w:val="001000000000" w:firstRow="0" w:lastRow="0" w:firstColumn="1" w:lastColumn="0" w:oddVBand="0" w:evenVBand="0" w:oddHBand="0" w:evenHBand="0" w:firstRowFirstColumn="0" w:firstRowLastColumn="0" w:lastRowFirstColumn="0" w:lastRowLastColumn="0"/>
            <w:tcW w:w="1338" w:type="dxa"/>
            <w:noWrap/>
            <w:hideMark/>
          </w:tcPr>
          <w:p w14:paraId="1423705C" w14:textId="77777777" w:rsidR="005757B8" w:rsidRPr="003E3F03" w:rsidRDefault="005757B8" w:rsidP="005757B8">
            <w:pPr>
              <w:jc w:val="center"/>
              <w:rPr>
                <w:rFonts w:ascii="Calibri" w:eastAsia="Times New Roman" w:hAnsi="Calibri" w:cs="Calibri"/>
                <w:i/>
                <w:iCs/>
                <w:lang w:eastAsia="en-GB"/>
              </w:rPr>
            </w:pPr>
            <w:r w:rsidRPr="003E3F03">
              <w:rPr>
                <w:rFonts w:ascii="Calibri" w:eastAsia="Times New Roman" w:hAnsi="Calibri" w:cs="Calibri"/>
                <w:i/>
                <w:iCs/>
                <w:lang w:eastAsia="en-GB"/>
              </w:rPr>
              <w:t>2015 Total</w:t>
            </w:r>
          </w:p>
        </w:tc>
        <w:tc>
          <w:tcPr>
            <w:tcW w:w="1540" w:type="dxa"/>
            <w:noWrap/>
            <w:hideMark/>
          </w:tcPr>
          <w:p w14:paraId="2E9A2688" w14:textId="77777777" w:rsidR="005757B8" w:rsidRPr="006F549C"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sidRPr="006F549C">
              <w:rPr>
                <w:rFonts w:ascii="Calibri" w:eastAsia="Times New Roman" w:hAnsi="Calibri" w:cs="Calibri"/>
                <w:b/>
                <w:i/>
                <w:iCs/>
                <w:lang w:eastAsia="en-GB"/>
              </w:rPr>
              <w:t>31</w:t>
            </w:r>
          </w:p>
        </w:tc>
        <w:tc>
          <w:tcPr>
            <w:tcW w:w="1540" w:type="dxa"/>
            <w:hideMark/>
          </w:tcPr>
          <w:p w14:paraId="6AC4F038" w14:textId="77777777" w:rsidR="005757B8" w:rsidRPr="006F549C"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sidRPr="006F549C">
              <w:rPr>
                <w:rFonts w:ascii="Calibri" w:eastAsia="Times New Roman" w:hAnsi="Calibri" w:cs="Calibri"/>
                <w:b/>
                <w:i/>
                <w:iCs/>
                <w:lang w:eastAsia="en-GB"/>
              </w:rPr>
              <w:t>855</w:t>
            </w:r>
          </w:p>
        </w:tc>
        <w:tc>
          <w:tcPr>
            <w:tcW w:w="1540" w:type="dxa"/>
            <w:hideMark/>
          </w:tcPr>
          <w:p w14:paraId="204072C1" w14:textId="77777777" w:rsidR="005757B8" w:rsidRPr="006F549C"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sidRPr="006F549C">
              <w:rPr>
                <w:rFonts w:ascii="Calibri" w:eastAsia="Times New Roman" w:hAnsi="Calibri" w:cs="Calibri"/>
                <w:b/>
                <w:i/>
                <w:iCs/>
                <w:lang w:eastAsia="en-GB"/>
              </w:rPr>
              <w:t>882</w:t>
            </w:r>
          </w:p>
        </w:tc>
        <w:tc>
          <w:tcPr>
            <w:tcW w:w="1540" w:type="dxa"/>
            <w:hideMark/>
          </w:tcPr>
          <w:p w14:paraId="637F2ADB" w14:textId="77777777" w:rsidR="005757B8" w:rsidRPr="006F549C"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sidRPr="006F549C">
              <w:rPr>
                <w:rFonts w:ascii="Calibri" w:eastAsia="Times New Roman" w:hAnsi="Calibri" w:cs="Calibri"/>
                <w:b/>
                <w:i/>
                <w:iCs/>
                <w:lang w:eastAsia="en-GB"/>
              </w:rPr>
              <w:t>609</w:t>
            </w:r>
          </w:p>
        </w:tc>
        <w:tc>
          <w:tcPr>
            <w:tcW w:w="1540" w:type="dxa"/>
            <w:hideMark/>
          </w:tcPr>
          <w:p w14:paraId="209BFE1C" w14:textId="77777777" w:rsidR="005757B8" w:rsidRPr="006F549C"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sidRPr="006F549C">
              <w:rPr>
                <w:rFonts w:ascii="Calibri" w:eastAsia="Times New Roman" w:hAnsi="Calibri" w:cs="Calibri"/>
                <w:b/>
                <w:i/>
                <w:iCs/>
                <w:lang w:eastAsia="en-GB"/>
              </w:rPr>
              <w:t>2,377</w:t>
            </w:r>
          </w:p>
        </w:tc>
      </w:tr>
      <w:tr w:rsidR="005757B8" w:rsidRPr="00916A56" w14:paraId="1BCB4E7E" w14:textId="77777777" w:rsidTr="005757B8">
        <w:trPr>
          <w:trHeight w:val="315"/>
        </w:trPr>
        <w:tc>
          <w:tcPr>
            <w:cnfStyle w:val="001000000000" w:firstRow="0" w:lastRow="0" w:firstColumn="1" w:lastColumn="0" w:oddVBand="0" w:evenVBand="0" w:oddHBand="0" w:evenHBand="0" w:firstRowFirstColumn="0" w:firstRowLastColumn="0" w:lastRowFirstColumn="0" w:lastRowLastColumn="0"/>
            <w:tcW w:w="1338" w:type="dxa"/>
            <w:noWrap/>
          </w:tcPr>
          <w:p w14:paraId="3AF67D94" w14:textId="77777777" w:rsidR="005757B8" w:rsidRPr="003E3F03" w:rsidRDefault="005757B8" w:rsidP="005757B8">
            <w:pPr>
              <w:jc w:val="center"/>
              <w:rPr>
                <w:rFonts w:ascii="Calibri" w:eastAsia="Times New Roman" w:hAnsi="Calibri" w:cs="Calibri"/>
                <w:b w:val="0"/>
                <w:bCs w:val="0"/>
                <w:lang w:eastAsia="en-GB"/>
              </w:rPr>
            </w:pPr>
          </w:p>
        </w:tc>
        <w:tc>
          <w:tcPr>
            <w:tcW w:w="1540" w:type="dxa"/>
            <w:noWrap/>
          </w:tcPr>
          <w:p w14:paraId="1D3C6BD0"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1540" w:type="dxa"/>
          </w:tcPr>
          <w:p w14:paraId="3200C442"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1540" w:type="dxa"/>
          </w:tcPr>
          <w:p w14:paraId="6275EC92"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1540" w:type="dxa"/>
          </w:tcPr>
          <w:p w14:paraId="610179A6"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1540" w:type="dxa"/>
          </w:tcPr>
          <w:p w14:paraId="10A4C2A1"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r>
      <w:tr w:rsidR="005757B8" w:rsidRPr="00916A56" w14:paraId="769A8620" w14:textId="77777777" w:rsidTr="005757B8">
        <w:trPr>
          <w:trHeight w:val="315"/>
        </w:trPr>
        <w:tc>
          <w:tcPr>
            <w:cnfStyle w:val="001000000000" w:firstRow="0" w:lastRow="0" w:firstColumn="1" w:lastColumn="0" w:oddVBand="0" w:evenVBand="0" w:oddHBand="0" w:evenHBand="0" w:firstRowFirstColumn="0" w:firstRowLastColumn="0" w:lastRowFirstColumn="0" w:lastRowLastColumn="0"/>
            <w:tcW w:w="1338" w:type="dxa"/>
            <w:noWrap/>
            <w:hideMark/>
          </w:tcPr>
          <w:p w14:paraId="618EED7F" w14:textId="77777777" w:rsidR="005757B8" w:rsidRPr="003E3F03" w:rsidRDefault="005757B8" w:rsidP="005757B8">
            <w:pPr>
              <w:jc w:val="center"/>
              <w:rPr>
                <w:rFonts w:ascii="Calibri" w:eastAsia="Times New Roman" w:hAnsi="Calibri" w:cs="Calibri"/>
                <w:lang w:eastAsia="en-GB"/>
              </w:rPr>
            </w:pPr>
            <w:r w:rsidRPr="003E3F03">
              <w:rPr>
                <w:rFonts w:ascii="Calibri" w:eastAsia="Times New Roman" w:hAnsi="Calibri" w:cs="Calibri"/>
                <w:lang w:eastAsia="en-GB"/>
              </w:rPr>
              <w:t>2016 – Q1</w:t>
            </w:r>
          </w:p>
        </w:tc>
        <w:tc>
          <w:tcPr>
            <w:tcW w:w="1540" w:type="dxa"/>
            <w:noWrap/>
            <w:hideMark/>
          </w:tcPr>
          <w:p w14:paraId="433A040B"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10</w:t>
            </w:r>
          </w:p>
        </w:tc>
        <w:tc>
          <w:tcPr>
            <w:tcW w:w="1540" w:type="dxa"/>
            <w:hideMark/>
          </w:tcPr>
          <w:p w14:paraId="23B9EAD9"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245</w:t>
            </w:r>
          </w:p>
        </w:tc>
        <w:tc>
          <w:tcPr>
            <w:tcW w:w="1540" w:type="dxa"/>
            <w:hideMark/>
          </w:tcPr>
          <w:p w14:paraId="2E7339EF"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241</w:t>
            </w:r>
          </w:p>
        </w:tc>
        <w:tc>
          <w:tcPr>
            <w:tcW w:w="1540" w:type="dxa"/>
            <w:hideMark/>
          </w:tcPr>
          <w:p w14:paraId="15825B05"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196</w:t>
            </w:r>
          </w:p>
        </w:tc>
        <w:tc>
          <w:tcPr>
            <w:tcW w:w="1540" w:type="dxa"/>
            <w:hideMark/>
          </w:tcPr>
          <w:p w14:paraId="44EA9673"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692</w:t>
            </w:r>
          </w:p>
        </w:tc>
      </w:tr>
      <w:tr w:rsidR="005757B8" w:rsidRPr="00916A56" w14:paraId="2EF2FB06" w14:textId="77777777" w:rsidTr="005757B8">
        <w:trPr>
          <w:trHeight w:val="315"/>
        </w:trPr>
        <w:tc>
          <w:tcPr>
            <w:cnfStyle w:val="001000000000" w:firstRow="0" w:lastRow="0" w:firstColumn="1" w:lastColumn="0" w:oddVBand="0" w:evenVBand="0" w:oddHBand="0" w:evenHBand="0" w:firstRowFirstColumn="0" w:firstRowLastColumn="0" w:lastRowFirstColumn="0" w:lastRowLastColumn="0"/>
            <w:tcW w:w="1338" w:type="dxa"/>
            <w:noWrap/>
            <w:hideMark/>
          </w:tcPr>
          <w:p w14:paraId="21187D5A" w14:textId="77777777" w:rsidR="005757B8" w:rsidRPr="003E3F03" w:rsidRDefault="005757B8" w:rsidP="005757B8">
            <w:pPr>
              <w:jc w:val="center"/>
              <w:rPr>
                <w:rFonts w:ascii="Calibri" w:eastAsia="Times New Roman" w:hAnsi="Calibri" w:cs="Calibri"/>
                <w:lang w:eastAsia="en-GB"/>
              </w:rPr>
            </w:pPr>
            <w:r w:rsidRPr="003E3F03">
              <w:rPr>
                <w:rFonts w:ascii="Calibri" w:eastAsia="Times New Roman" w:hAnsi="Calibri" w:cs="Calibri"/>
                <w:lang w:eastAsia="en-GB"/>
              </w:rPr>
              <w:t>2016 – Q2</w:t>
            </w:r>
          </w:p>
        </w:tc>
        <w:tc>
          <w:tcPr>
            <w:tcW w:w="1540" w:type="dxa"/>
            <w:noWrap/>
            <w:hideMark/>
          </w:tcPr>
          <w:p w14:paraId="438DA5C2"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11</w:t>
            </w:r>
          </w:p>
        </w:tc>
        <w:tc>
          <w:tcPr>
            <w:tcW w:w="1540" w:type="dxa"/>
            <w:hideMark/>
          </w:tcPr>
          <w:p w14:paraId="2C1CE8EE"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194</w:t>
            </w:r>
          </w:p>
        </w:tc>
        <w:tc>
          <w:tcPr>
            <w:tcW w:w="1540" w:type="dxa"/>
            <w:hideMark/>
          </w:tcPr>
          <w:p w14:paraId="6C20CA0D"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205</w:t>
            </w:r>
          </w:p>
        </w:tc>
        <w:tc>
          <w:tcPr>
            <w:tcW w:w="1540" w:type="dxa"/>
            <w:hideMark/>
          </w:tcPr>
          <w:p w14:paraId="40F43B86"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124</w:t>
            </w:r>
          </w:p>
        </w:tc>
        <w:tc>
          <w:tcPr>
            <w:tcW w:w="1540" w:type="dxa"/>
            <w:hideMark/>
          </w:tcPr>
          <w:p w14:paraId="749C659C"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534</w:t>
            </w:r>
          </w:p>
        </w:tc>
      </w:tr>
      <w:tr w:rsidR="005757B8" w:rsidRPr="00916A56" w14:paraId="122D8FC0" w14:textId="77777777" w:rsidTr="005757B8">
        <w:trPr>
          <w:trHeight w:val="315"/>
        </w:trPr>
        <w:tc>
          <w:tcPr>
            <w:cnfStyle w:val="001000000000" w:firstRow="0" w:lastRow="0" w:firstColumn="1" w:lastColumn="0" w:oddVBand="0" w:evenVBand="0" w:oddHBand="0" w:evenHBand="0" w:firstRowFirstColumn="0" w:firstRowLastColumn="0" w:lastRowFirstColumn="0" w:lastRowLastColumn="0"/>
            <w:tcW w:w="1338" w:type="dxa"/>
            <w:noWrap/>
            <w:hideMark/>
          </w:tcPr>
          <w:p w14:paraId="3A94D7A4" w14:textId="77777777" w:rsidR="005757B8" w:rsidRPr="003E3F03" w:rsidRDefault="005757B8" w:rsidP="005757B8">
            <w:pPr>
              <w:jc w:val="center"/>
              <w:rPr>
                <w:rFonts w:ascii="Calibri" w:eastAsia="Times New Roman" w:hAnsi="Calibri" w:cs="Calibri"/>
                <w:lang w:eastAsia="en-GB"/>
              </w:rPr>
            </w:pPr>
            <w:r w:rsidRPr="003E3F03">
              <w:rPr>
                <w:rFonts w:ascii="Calibri" w:eastAsia="Times New Roman" w:hAnsi="Calibri" w:cs="Calibri"/>
                <w:lang w:eastAsia="en-GB"/>
              </w:rPr>
              <w:t>2016 – Q3</w:t>
            </w:r>
          </w:p>
        </w:tc>
        <w:tc>
          <w:tcPr>
            <w:tcW w:w="1540" w:type="dxa"/>
            <w:noWrap/>
            <w:hideMark/>
          </w:tcPr>
          <w:p w14:paraId="7B218CD6"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7</w:t>
            </w:r>
          </w:p>
        </w:tc>
        <w:tc>
          <w:tcPr>
            <w:tcW w:w="1540" w:type="dxa"/>
            <w:hideMark/>
          </w:tcPr>
          <w:p w14:paraId="5124DAE9" w14:textId="0DC39FD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22</w:t>
            </w:r>
            <w:r w:rsidR="00804F3D">
              <w:rPr>
                <w:rFonts w:ascii="Calibri" w:eastAsia="Times New Roman" w:hAnsi="Calibri" w:cs="Calibri"/>
                <w:lang w:eastAsia="en-GB"/>
              </w:rPr>
              <w:t>3</w:t>
            </w:r>
          </w:p>
        </w:tc>
        <w:tc>
          <w:tcPr>
            <w:tcW w:w="1540" w:type="dxa"/>
            <w:hideMark/>
          </w:tcPr>
          <w:p w14:paraId="0DEF0F83"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252</w:t>
            </w:r>
          </w:p>
        </w:tc>
        <w:tc>
          <w:tcPr>
            <w:tcW w:w="1540" w:type="dxa"/>
            <w:hideMark/>
          </w:tcPr>
          <w:p w14:paraId="2732D987"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162</w:t>
            </w:r>
          </w:p>
        </w:tc>
        <w:tc>
          <w:tcPr>
            <w:tcW w:w="1540" w:type="dxa"/>
            <w:hideMark/>
          </w:tcPr>
          <w:p w14:paraId="64CFC7B6" w14:textId="5BA1F2A1"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64</w:t>
            </w:r>
            <w:r w:rsidR="00804F3D">
              <w:rPr>
                <w:rFonts w:ascii="Calibri" w:eastAsia="Times New Roman" w:hAnsi="Calibri" w:cs="Calibri"/>
                <w:lang w:eastAsia="en-GB"/>
              </w:rPr>
              <w:t>4</w:t>
            </w:r>
          </w:p>
        </w:tc>
      </w:tr>
      <w:tr w:rsidR="005757B8" w:rsidRPr="00916A56" w14:paraId="0A3C37C0" w14:textId="77777777" w:rsidTr="005757B8">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78F06B2C" w14:textId="77777777" w:rsidR="005757B8" w:rsidRPr="003E3F03" w:rsidRDefault="005757B8" w:rsidP="005757B8">
            <w:pPr>
              <w:jc w:val="center"/>
              <w:rPr>
                <w:rFonts w:ascii="Calibri" w:eastAsia="Times New Roman" w:hAnsi="Calibri" w:cs="Calibri"/>
                <w:lang w:eastAsia="en-GB"/>
              </w:rPr>
            </w:pPr>
            <w:r w:rsidRPr="003E3F03">
              <w:rPr>
                <w:rFonts w:ascii="Calibri" w:eastAsia="Times New Roman" w:hAnsi="Calibri" w:cs="Calibri"/>
                <w:lang w:eastAsia="en-GB"/>
              </w:rPr>
              <w:t>2016 – Q4</w:t>
            </w:r>
          </w:p>
        </w:tc>
        <w:tc>
          <w:tcPr>
            <w:tcW w:w="1540" w:type="dxa"/>
            <w:noWrap/>
            <w:hideMark/>
          </w:tcPr>
          <w:p w14:paraId="3A4C808E"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12</w:t>
            </w:r>
          </w:p>
        </w:tc>
        <w:tc>
          <w:tcPr>
            <w:tcW w:w="1540" w:type="dxa"/>
            <w:hideMark/>
          </w:tcPr>
          <w:p w14:paraId="23EC8DF2"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254</w:t>
            </w:r>
          </w:p>
        </w:tc>
        <w:tc>
          <w:tcPr>
            <w:tcW w:w="1540" w:type="dxa"/>
            <w:hideMark/>
          </w:tcPr>
          <w:p w14:paraId="450E45E5"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274</w:t>
            </w:r>
          </w:p>
        </w:tc>
        <w:tc>
          <w:tcPr>
            <w:tcW w:w="1540" w:type="dxa"/>
            <w:hideMark/>
          </w:tcPr>
          <w:p w14:paraId="4F9C38E2"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166</w:t>
            </w:r>
          </w:p>
        </w:tc>
        <w:tc>
          <w:tcPr>
            <w:tcW w:w="1540" w:type="dxa"/>
            <w:hideMark/>
          </w:tcPr>
          <w:p w14:paraId="373F1603"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706</w:t>
            </w:r>
          </w:p>
        </w:tc>
      </w:tr>
      <w:tr w:rsidR="005757B8" w:rsidRPr="00916A56" w14:paraId="5154D89D" w14:textId="77777777" w:rsidTr="005757B8">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43337F3E" w14:textId="77777777" w:rsidR="005757B8" w:rsidRPr="003E3F03" w:rsidRDefault="005757B8" w:rsidP="005757B8">
            <w:pPr>
              <w:jc w:val="center"/>
              <w:rPr>
                <w:rFonts w:ascii="Calibri" w:eastAsia="Times New Roman" w:hAnsi="Calibri" w:cs="Calibri"/>
                <w:i/>
                <w:iCs/>
                <w:lang w:eastAsia="en-GB"/>
              </w:rPr>
            </w:pPr>
            <w:r w:rsidRPr="003E3F03">
              <w:rPr>
                <w:rFonts w:ascii="Calibri" w:eastAsia="Times New Roman" w:hAnsi="Calibri" w:cs="Calibri"/>
                <w:i/>
                <w:iCs/>
                <w:lang w:eastAsia="en-GB"/>
              </w:rPr>
              <w:t>2016 Total</w:t>
            </w:r>
          </w:p>
        </w:tc>
        <w:tc>
          <w:tcPr>
            <w:tcW w:w="1540" w:type="dxa"/>
            <w:noWrap/>
            <w:hideMark/>
          </w:tcPr>
          <w:p w14:paraId="29A533BC" w14:textId="77777777" w:rsidR="005757B8" w:rsidRPr="006F549C"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sidRPr="006F549C">
              <w:rPr>
                <w:rFonts w:ascii="Calibri" w:eastAsia="Times New Roman" w:hAnsi="Calibri" w:cs="Calibri"/>
                <w:b/>
                <w:i/>
                <w:iCs/>
                <w:lang w:eastAsia="en-GB"/>
              </w:rPr>
              <w:t>40</w:t>
            </w:r>
          </w:p>
        </w:tc>
        <w:tc>
          <w:tcPr>
            <w:tcW w:w="1540" w:type="dxa"/>
            <w:hideMark/>
          </w:tcPr>
          <w:p w14:paraId="41BE6E57" w14:textId="036DC37E" w:rsidR="005757B8" w:rsidRPr="006F549C"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sidRPr="006F549C">
              <w:rPr>
                <w:rFonts w:ascii="Calibri" w:eastAsia="Times New Roman" w:hAnsi="Calibri" w:cs="Calibri"/>
                <w:b/>
                <w:i/>
                <w:iCs/>
                <w:lang w:eastAsia="en-GB"/>
              </w:rPr>
              <w:t>91</w:t>
            </w:r>
            <w:r w:rsidR="00804F3D">
              <w:rPr>
                <w:rFonts w:ascii="Calibri" w:eastAsia="Times New Roman" w:hAnsi="Calibri" w:cs="Calibri"/>
                <w:b/>
                <w:i/>
                <w:iCs/>
                <w:lang w:eastAsia="en-GB"/>
              </w:rPr>
              <w:t>6</w:t>
            </w:r>
          </w:p>
        </w:tc>
        <w:tc>
          <w:tcPr>
            <w:tcW w:w="1540" w:type="dxa"/>
            <w:hideMark/>
          </w:tcPr>
          <w:p w14:paraId="419BDE8A" w14:textId="77777777" w:rsidR="005757B8" w:rsidRPr="006F549C"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sidRPr="006F549C">
              <w:rPr>
                <w:rFonts w:ascii="Calibri" w:eastAsia="Times New Roman" w:hAnsi="Calibri" w:cs="Calibri"/>
                <w:b/>
                <w:i/>
                <w:iCs/>
                <w:lang w:eastAsia="en-GB"/>
              </w:rPr>
              <w:t>972</w:t>
            </w:r>
          </w:p>
        </w:tc>
        <w:tc>
          <w:tcPr>
            <w:tcW w:w="1540" w:type="dxa"/>
            <w:hideMark/>
          </w:tcPr>
          <w:p w14:paraId="13B5334B" w14:textId="77777777" w:rsidR="005757B8" w:rsidRPr="006F549C"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sidRPr="006F549C">
              <w:rPr>
                <w:rFonts w:ascii="Calibri" w:eastAsia="Times New Roman" w:hAnsi="Calibri" w:cs="Calibri"/>
                <w:b/>
                <w:i/>
                <w:iCs/>
                <w:lang w:eastAsia="en-GB"/>
              </w:rPr>
              <w:t>648</w:t>
            </w:r>
          </w:p>
        </w:tc>
        <w:tc>
          <w:tcPr>
            <w:tcW w:w="1540" w:type="dxa"/>
            <w:hideMark/>
          </w:tcPr>
          <w:p w14:paraId="297D91F3" w14:textId="069D235C" w:rsidR="005757B8" w:rsidRPr="006F549C"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sidRPr="006F549C">
              <w:rPr>
                <w:rFonts w:ascii="Calibri" w:eastAsia="Times New Roman" w:hAnsi="Calibri" w:cs="Calibri"/>
                <w:b/>
                <w:i/>
                <w:iCs/>
                <w:lang w:eastAsia="en-GB"/>
              </w:rPr>
              <w:t>2,57</w:t>
            </w:r>
            <w:r w:rsidR="00804F3D">
              <w:rPr>
                <w:rFonts w:ascii="Calibri" w:eastAsia="Times New Roman" w:hAnsi="Calibri" w:cs="Calibri"/>
                <w:b/>
                <w:i/>
                <w:iCs/>
                <w:lang w:eastAsia="en-GB"/>
              </w:rPr>
              <w:t>6</w:t>
            </w:r>
          </w:p>
        </w:tc>
      </w:tr>
      <w:tr w:rsidR="005757B8" w:rsidRPr="00916A56" w14:paraId="384A5503" w14:textId="77777777" w:rsidTr="005757B8">
        <w:trPr>
          <w:trHeight w:val="324"/>
        </w:trPr>
        <w:tc>
          <w:tcPr>
            <w:cnfStyle w:val="001000000000" w:firstRow="0" w:lastRow="0" w:firstColumn="1" w:lastColumn="0" w:oddVBand="0" w:evenVBand="0" w:oddHBand="0" w:evenHBand="0" w:firstRowFirstColumn="0" w:firstRowLastColumn="0" w:lastRowFirstColumn="0" w:lastRowLastColumn="0"/>
            <w:tcW w:w="1338" w:type="dxa"/>
            <w:noWrap/>
          </w:tcPr>
          <w:p w14:paraId="3F06E7DC" w14:textId="77777777" w:rsidR="005757B8" w:rsidRPr="003E3F03" w:rsidRDefault="005757B8" w:rsidP="005757B8">
            <w:pPr>
              <w:jc w:val="center"/>
              <w:rPr>
                <w:rFonts w:ascii="Calibri" w:eastAsia="Times New Roman" w:hAnsi="Calibri" w:cs="Calibri"/>
                <w:b w:val="0"/>
                <w:bCs w:val="0"/>
                <w:lang w:eastAsia="en-GB"/>
              </w:rPr>
            </w:pPr>
          </w:p>
        </w:tc>
        <w:tc>
          <w:tcPr>
            <w:tcW w:w="1540" w:type="dxa"/>
            <w:noWrap/>
          </w:tcPr>
          <w:p w14:paraId="06F9C12F"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1540" w:type="dxa"/>
          </w:tcPr>
          <w:p w14:paraId="3674EEE2"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1540" w:type="dxa"/>
          </w:tcPr>
          <w:p w14:paraId="3EFD2087"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1540" w:type="dxa"/>
          </w:tcPr>
          <w:p w14:paraId="0FD5BF60"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1540" w:type="dxa"/>
          </w:tcPr>
          <w:p w14:paraId="161B81AC"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r>
      <w:tr w:rsidR="005757B8" w:rsidRPr="00916A56" w14:paraId="2A47A996" w14:textId="77777777" w:rsidTr="005757B8">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16AC3068" w14:textId="77777777" w:rsidR="005757B8" w:rsidRPr="003E3F03" w:rsidRDefault="005757B8" w:rsidP="005757B8">
            <w:pPr>
              <w:jc w:val="center"/>
              <w:rPr>
                <w:rFonts w:ascii="Calibri" w:eastAsia="Times New Roman" w:hAnsi="Calibri" w:cs="Calibri"/>
                <w:lang w:eastAsia="en-GB"/>
              </w:rPr>
            </w:pPr>
            <w:r w:rsidRPr="003E3F03">
              <w:rPr>
                <w:rFonts w:ascii="Calibri" w:eastAsia="Times New Roman" w:hAnsi="Calibri" w:cs="Calibri"/>
                <w:lang w:eastAsia="en-GB"/>
              </w:rPr>
              <w:t>2017 – Q1</w:t>
            </w:r>
          </w:p>
        </w:tc>
        <w:tc>
          <w:tcPr>
            <w:tcW w:w="1540" w:type="dxa"/>
            <w:noWrap/>
            <w:hideMark/>
          </w:tcPr>
          <w:p w14:paraId="66C9B0DD"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10</w:t>
            </w:r>
          </w:p>
        </w:tc>
        <w:tc>
          <w:tcPr>
            <w:tcW w:w="1540" w:type="dxa"/>
            <w:hideMark/>
          </w:tcPr>
          <w:p w14:paraId="6292F922"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195</w:t>
            </w:r>
          </w:p>
        </w:tc>
        <w:tc>
          <w:tcPr>
            <w:tcW w:w="1540" w:type="dxa"/>
            <w:hideMark/>
          </w:tcPr>
          <w:p w14:paraId="3B6C67F1"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248</w:t>
            </w:r>
          </w:p>
        </w:tc>
        <w:tc>
          <w:tcPr>
            <w:tcW w:w="1540" w:type="dxa"/>
            <w:hideMark/>
          </w:tcPr>
          <w:p w14:paraId="48DC532E"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147</w:t>
            </w:r>
          </w:p>
        </w:tc>
        <w:tc>
          <w:tcPr>
            <w:tcW w:w="1540" w:type="dxa"/>
            <w:hideMark/>
          </w:tcPr>
          <w:p w14:paraId="476FE241"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600</w:t>
            </w:r>
          </w:p>
        </w:tc>
      </w:tr>
      <w:tr w:rsidR="005757B8" w:rsidRPr="00916A56" w14:paraId="76269AFE" w14:textId="77777777" w:rsidTr="005757B8">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1A41AE65" w14:textId="77777777" w:rsidR="005757B8" w:rsidRPr="003E3F03" w:rsidRDefault="005757B8" w:rsidP="005757B8">
            <w:pPr>
              <w:jc w:val="center"/>
              <w:rPr>
                <w:rFonts w:ascii="Calibri" w:eastAsia="Times New Roman" w:hAnsi="Calibri" w:cs="Calibri"/>
                <w:lang w:eastAsia="en-GB"/>
              </w:rPr>
            </w:pPr>
            <w:r w:rsidRPr="003E3F03">
              <w:rPr>
                <w:rFonts w:ascii="Calibri" w:eastAsia="Times New Roman" w:hAnsi="Calibri" w:cs="Calibri"/>
                <w:lang w:eastAsia="en-GB"/>
              </w:rPr>
              <w:t>2017 – Q2</w:t>
            </w:r>
          </w:p>
        </w:tc>
        <w:tc>
          <w:tcPr>
            <w:tcW w:w="1540" w:type="dxa"/>
            <w:noWrap/>
            <w:hideMark/>
          </w:tcPr>
          <w:p w14:paraId="64CC166E"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17</w:t>
            </w:r>
          </w:p>
        </w:tc>
        <w:tc>
          <w:tcPr>
            <w:tcW w:w="1540" w:type="dxa"/>
            <w:hideMark/>
          </w:tcPr>
          <w:p w14:paraId="04856D94"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257</w:t>
            </w:r>
          </w:p>
        </w:tc>
        <w:tc>
          <w:tcPr>
            <w:tcW w:w="1540" w:type="dxa"/>
            <w:hideMark/>
          </w:tcPr>
          <w:p w14:paraId="0DC984A9"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241</w:t>
            </w:r>
          </w:p>
        </w:tc>
        <w:tc>
          <w:tcPr>
            <w:tcW w:w="1540" w:type="dxa"/>
            <w:hideMark/>
          </w:tcPr>
          <w:p w14:paraId="06F2FC39"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171</w:t>
            </w:r>
          </w:p>
        </w:tc>
        <w:tc>
          <w:tcPr>
            <w:tcW w:w="1540" w:type="dxa"/>
            <w:hideMark/>
          </w:tcPr>
          <w:p w14:paraId="32C2CC5B"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686</w:t>
            </w:r>
          </w:p>
        </w:tc>
      </w:tr>
      <w:tr w:rsidR="005757B8" w:rsidRPr="00916A56" w14:paraId="72138BD2" w14:textId="77777777" w:rsidTr="005757B8">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4214FD9B" w14:textId="77777777" w:rsidR="005757B8" w:rsidRPr="003E3F03" w:rsidRDefault="005757B8" w:rsidP="005757B8">
            <w:pPr>
              <w:jc w:val="center"/>
              <w:rPr>
                <w:rFonts w:ascii="Calibri" w:eastAsia="Times New Roman" w:hAnsi="Calibri" w:cs="Calibri"/>
                <w:lang w:eastAsia="en-GB"/>
              </w:rPr>
            </w:pPr>
            <w:r w:rsidRPr="003E3F03">
              <w:rPr>
                <w:rFonts w:ascii="Calibri" w:eastAsia="Times New Roman" w:hAnsi="Calibri" w:cs="Calibri"/>
                <w:lang w:eastAsia="en-GB"/>
              </w:rPr>
              <w:t>2017 – Q3</w:t>
            </w:r>
          </w:p>
        </w:tc>
        <w:tc>
          <w:tcPr>
            <w:tcW w:w="1540" w:type="dxa"/>
            <w:noWrap/>
            <w:hideMark/>
          </w:tcPr>
          <w:p w14:paraId="3A51FC8D"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10</w:t>
            </w:r>
          </w:p>
        </w:tc>
        <w:tc>
          <w:tcPr>
            <w:tcW w:w="1540" w:type="dxa"/>
            <w:hideMark/>
          </w:tcPr>
          <w:p w14:paraId="76526D82"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265</w:t>
            </w:r>
          </w:p>
        </w:tc>
        <w:tc>
          <w:tcPr>
            <w:tcW w:w="1540" w:type="dxa"/>
            <w:hideMark/>
          </w:tcPr>
          <w:p w14:paraId="53400E95"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292</w:t>
            </w:r>
          </w:p>
        </w:tc>
        <w:tc>
          <w:tcPr>
            <w:tcW w:w="1540" w:type="dxa"/>
            <w:hideMark/>
          </w:tcPr>
          <w:p w14:paraId="5B7C5BCB"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171</w:t>
            </w:r>
          </w:p>
        </w:tc>
        <w:tc>
          <w:tcPr>
            <w:tcW w:w="1540" w:type="dxa"/>
            <w:hideMark/>
          </w:tcPr>
          <w:p w14:paraId="4CDA69A4"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738</w:t>
            </w:r>
          </w:p>
        </w:tc>
      </w:tr>
      <w:tr w:rsidR="005757B8" w:rsidRPr="00916A56" w14:paraId="3ED0F4EA" w14:textId="77777777" w:rsidTr="005757B8">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72E7EFEC" w14:textId="77777777" w:rsidR="005757B8" w:rsidRPr="003E3F03" w:rsidRDefault="005757B8" w:rsidP="005757B8">
            <w:pPr>
              <w:jc w:val="center"/>
              <w:rPr>
                <w:rFonts w:ascii="Calibri" w:eastAsia="Times New Roman" w:hAnsi="Calibri" w:cs="Calibri"/>
                <w:lang w:eastAsia="en-GB"/>
              </w:rPr>
            </w:pPr>
            <w:r w:rsidRPr="003E3F03">
              <w:rPr>
                <w:rFonts w:ascii="Calibri" w:eastAsia="Times New Roman" w:hAnsi="Calibri" w:cs="Calibri"/>
                <w:lang w:eastAsia="en-GB"/>
              </w:rPr>
              <w:t>2017 – Q4</w:t>
            </w:r>
          </w:p>
        </w:tc>
        <w:tc>
          <w:tcPr>
            <w:tcW w:w="1540" w:type="dxa"/>
            <w:noWrap/>
            <w:hideMark/>
          </w:tcPr>
          <w:p w14:paraId="46EC1BA8"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13</w:t>
            </w:r>
          </w:p>
        </w:tc>
        <w:tc>
          <w:tcPr>
            <w:tcW w:w="1540" w:type="dxa"/>
            <w:hideMark/>
          </w:tcPr>
          <w:p w14:paraId="6AEDDDA9" w14:textId="358A37EA"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26</w:t>
            </w:r>
            <w:r w:rsidR="00804F3D">
              <w:rPr>
                <w:rFonts w:ascii="Calibri" w:eastAsia="Times New Roman" w:hAnsi="Calibri" w:cs="Calibri"/>
                <w:lang w:eastAsia="en-GB"/>
              </w:rPr>
              <w:t>5</w:t>
            </w:r>
          </w:p>
        </w:tc>
        <w:tc>
          <w:tcPr>
            <w:tcW w:w="1540" w:type="dxa"/>
            <w:hideMark/>
          </w:tcPr>
          <w:p w14:paraId="425D903C"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357</w:t>
            </w:r>
          </w:p>
        </w:tc>
        <w:tc>
          <w:tcPr>
            <w:tcW w:w="1540" w:type="dxa"/>
            <w:hideMark/>
          </w:tcPr>
          <w:p w14:paraId="1A7320BF"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189</w:t>
            </w:r>
          </w:p>
        </w:tc>
        <w:tc>
          <w:tcPr>
            <w:tcW w:w="1540" w:type="dxa"/>
            <w:hideMark/>
          </w:tcPr>
          <w:p w14:paraId="4DBBF5C9" w14:textId="5ED00B58"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82</w:t>
            </w:r>
            <w:r w:rsidR="00804F3D">
              <w:rPr>
                <w:rFonts w:ascii="Calibri" w:eastAsia="Times New Roman" w:hAnsi="Calibri" w:cs="Calibri"/>
                <w:lang w:eastAsia="en-GB"/>
              </w:rPr>
              <w:t>4</w:t>
            </w:r>
          </w:p>
        </w:tc>
      </w:tr>
      <w:tr w:rsidR="005757B8" w:rsidRPr="00916A56" w14:paraId="54C5D2E5" w14:textId="77777777" w:rsidTr="005757B8">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71508720" w14:textId="77777777" w:rsidR="005757B8" w:rsidRPr="003E3F03" w:rsidRDefault="005757B8" w:rsidP="005757B8">
            <w:pPr>
              <w:jc w:val="center"/>
              <w:rPr>
                <w:rFonts w:ascii="Calibri" w:eastAsia="Times New Roman" w:hAnsi="Calibri" w:cs="Calibri"/>
                <w:i/>
                <w:iCs/>
                <w:lang w:eastAsia="en-GB"/>
              </w:rPr>
            </w:pPr>
            <w:r w:rsidRPr="003E3F03">
              <w:rPr>
                <w:rFonts w:ascii="Calibri" w:eastAsia="Times New Roman" w:hAnsi="Calibri" w:cs="Calibri"/>
                <w:i/>
                <w:iCs/>
                <w:lang w:eastAsia="en-GB"/>
              </w:rPr>
              <w:t>2017 Total</w:t>
            </w:r>
          </w:p>
        </w:tc>
        <w:tc>
          <w:tcPr>
            <w:tcW w:w="1540" w:type="dxa"/>
            <w:noWrap/>
            <w:hideMark/>
          </w:tcPr>
          <w:p w14:paraId="395CD9D3" w14:textId="77777777" w:rsidR="005757B8" w:rsidRPr="006F549C"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sidRPr="006F549C">
              <w:rPr>
                <w:rFonts w:ascii="Calibri" w:eastAsia="Times New Roman" w:hAnsi="Calibri" w:cs="Calibri"/>
                <w:b/>
                <w:i/>
                <w:iCs/>
                <w:lang w:eastAsia="en-GB"/>
              </w:rPr>
              <w:t>50</w:t>
            </w:r>
          </w:p>
        </w:tc>
        <w:tc>
          <w:tcPr>
            <w:tcW w:w="1540" w:type="dxa"/>
            <w:hideMark/>
          </w:tcPr>
          <w:p w14:paraId="3A1D4F97" w14:textId="3440D537" w:rsidR="005757B8" w:rsidRPr="006F549C"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sidRPr="006F549C">
              <w:rPr>
                <w:rFonts w:ascii="Calibri" w:eastAsia="Times New Roman" w:hAnsi="Calibri" w:cs="Calibri"/>
                <w:b/>
                <w:i/>
                <w:iCs/>
                <w:lang w:eastAsia="en-GB"/>
              </w:rPr>
              <w:t>98</w:t>
            </w:r>
            <w:r w:rsidR="00804F3D">
              <w:rPr>
                <w:rFonts w:ascii="Calibri" w:eastAsia="Times New Roman" w:hAnsi="Calibri" w:cs="Calibri"/>
                <w:b/>
                <w:i/>
                <w:iCs/>
                <w:lang w:eastAsia="en-GB"/>
              </w:rPr>
              <w:t>2</w:t>
            </w:r>
          </w:p>
        </w:tc>
        <w:tc>
          <w:tcPr>
            <w:tcW w:w="1540" w:type="dxa"/>
            <w:hideMark/>
          </w:tcPr>
          <w:p w14:paraId="118328D4" w14:textId="77777777" w:rsidR="005757B8" w:rsidRPr="006F549C"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sidRPr="006F549C">
              <w:rPr>
                <w:rFonts w:ascii="Calibri" w:eastAsia="Times New Roman" w:hAnsi="Calibri" w:cs="Calibri"/>
                <w:b/>
                <w:i/>
                <w:iCs/>
                <w:lang w:eastAsia="en-GB"/>
              </w:rPr>
              <w:t>1,138</w:t>
            </w:r>
          </w:p>
        </w:tc>
        <w:tc>
          <w:tcPr>
            <w:tcW w:w="1540" w:type="dxa"/>
            <w:hideMark/>
          </w:tcPr>
          <w:p w14:paraId="6FC1FFBD" w14:textId="77777777" w:rsidR="005757B8" w:rsidRPr="006F549C"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sidRPr="006F549C">
              <w:rPr>
                <w:rFonts w:ascii="Calibri" w:eastAsia="Times New Roman" w:hAnsi="Calibri" w:cs="Calibri"/>
                <w:b/>
                <w:i/>
                <w:iCs/>
                <w:lang w:eastAsia="en-GB"/>
              </w:rPr>
              <w:t>678</w:t>
            </w:r>
          </w:p>
        </w:tc>
        <w:tc>
          <w:tcPr>
            <w:tcW w:w="1540" w:type="dxa"/>
            <w:hideMark/>
          </w:tcPr>
          <w:p w14:paraId="007CF4BE" w14:textId="118566D2" w:rsidR="005757B8" w:rsidRPr="006F549C"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sidRPr="006F549C">
              <w:rPr>
                <w:rFonts w:ascii="Calibri" w:eastAsia="Times New Roman" w:hAnsi="Calibri" w:cs="Calibri"/>
                <w:b/>
                <w:i/>
                <w:iCs/>
                <w:lang w:eastAsia="en-GB"/>
              </w:rPr>
              <w:t>2,84</w:t>
            </w:r>
            <w:r w:rsidR="00804F3D">
              <w:rPr>
                <w:rFonts w:ascii="Calibri" w:eastAsia="Times New Roman" w:hAnsi="Calibri" w:cs="Calibri"/>
                <w:b/>
                <w:i/>
                <w:iCs/>
                <w:lang w:eastAsia="en-GB"/>
              </w:rPr>
              <w:t>8</w:t>
            </w:r>
          </w:p>
        </w:tc>
      </w:tr>
      <w:tr w:rsidR="005757B8" w:rsidRPr="00916A56" w14:paraId="40984200" w14:textId="77777777" w:rsidTr="005757B8">
        <w:trPr>
          <w:trHeight w:val="324"/>
        </w:trPr>
        <w:tc>
          <w:tcPr>
            <w:cnfStyle w:val="001000000000" w:firstRow="0" w:lastRow="0" w:firstColumn="1" w:lastColumn="0" w:oddVBand="0" w:evenVBand="0" w:oddHBand="0" w:evenHBand="0" w:firstRowFirstColumn="0" w:firstRowLastColumn="0" w:lastRowFirstColumn="0" w:lastRowLastColumn="0"/>
            <w:tcW w:w="1338" w:type="dxa"/>
            <w:noWrap/>
          </w:tcPr>
          <w:p w14:paraId="44388C09" w14:textId="77777777" w:rsidR="005757B8" w:rsidRPr="003E3F03" w:rsidRDefault="005757B8" w:rsidP="005757B8">
            <w:pPr>
              <w:jc w:val="center"/>
              <w:rPr>
                <w:rFonts w:ascii="Calibri" w:eastAsia="Times New Roman" w:hAnsi="Calibri" w:cs="Calibri"/>
                <w:b w:val="0"/>
                <w:bCs w:val="0"/>
                <w:lang w:eastAsia="en-GB"/>
              </w:rPr>
            </w:pPr>
          </w:p>
        </w:tc>
        <w:tc>
          <w:tcPr>
            <w:tcW w:w="1540" w:type="dxa"/>
            <w:noWrap/>
          </w:tcPr>
          <w:p w14:paraId="48610957"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1540" w:type="dxa"/>
          </w:tcPr>
          <w:p w14:paraId="4DB020CD"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1540" w:type="dxa"/>
          </w:tcPr>
          <w:p w14:paraId="78E73C46"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1540" w:type="dxa"/>
          </w:tcPr>
          <w:p w14:paraId="5A004788"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1540" w:type="dxa"/>
          </w:tcPr>
          <w:p w14:paraId="57C52138"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r>
      <w:tr w:rsidR="005757B8" w:rsidRPr="00916A56" w14:paraId="6DC30143" w14:textId="77777777" w:rsidTr="005757B8">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2C28DFFB" w14:textId="77777777" w:rsidR="005757B8" w:rsidRPr="003E3F03" w:rsidRDefault="005757B8" w:rsidP="005757B8">
            <w:pPr>
              <w:jc w:val="center"/>
              <w:rPr>
                <w:rFonts w:ascii="Calibri" w:eastAsia="Times New Roman" w:hAnsi="Calibri" w:cs="Calibri"/>
                <w:lang w:eastAsia="en-GB"/>
              </w:rPr>
            </w:pPr>
            <w:r w:rsidRPr="003E3F03">
              <w:rPr>
                <w:rFonts w:ascii="Calibri" w:eastAsia="Times New Roman" w:hAnsi="Calibri" w:cs="Calibri"/>
                <w:lang w:eastAsia="en-GB"/>
              </w:rPr>
              <w:t>2018 – Q1</w:t>
            </w:r>
          </w:p>
        </w:tc>
        <w:tc>
          <w:tcPr>
            <w:tcW w:w="1540" w:type="dxa"/>
            <w:noWrap/>
            <w:hideMark/>
          </w:tcPr>
          <w:p w14:paraId="37255BD4"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7</w:t>
            </w:r>
          </w:p>
        </w:tc>
        <w:tc>
          <w:tcPr>
            <w:tcW w:w="1540" w:type="dxa"/>
            <w:hideMark/>
          </w:tcPr>
          <w:p w14:paraId="2F409DF9"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223</w:t>
            </w:r>
          </w:p>
        </w:tc>
        <w:tc>
          <w:tcPr>
            <w:tcW w:w="1540" w:type="dxa"/>
            <w:hideMark/>
          </w:tcPr>
          <w:p w14:paraId="5CF917A5"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240</w:t>
            </w:r>
          </w:p>
        </w:tc>
        <w:tc>
          <w:tcPr>
            <w:tcW w:w="1540" w:type="dxa"/>
            <w:hideMark/>
          </w:tcPr>
          <w:p w14:paraId="5B0D0C00"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141</w:t>
            </w:r>
          </w:p>
        </w:tc>
        <w:tc>
          <w:tcPr>
            <w:tcW w:w="1540" w:type="dxa"/>
            <w:hideMark/>
          </w:tcPr>
          <w:p w14:paraId="1E924DE5"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611</w:t>
            </w:r>
          </w:p>
        </w:tc>
      </w:tr>
      <w:tr w:rsidR="005757B8" w:rsidRPr="00916A56" w14:paraId="6A148AEC" w14:textId="77777777" w:rsidTr="005757B8">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6D145495" w14:textId="77777777" w:rsidR="005757B8" w:rsidRPr="003E3F03" w:rsidRDefault="005757B8" w:rsidP="005757B8">
            <w:pPr>
              <w:jc w:val="center"/>
              <w:rPr>
                <w:rFonts w:ascii="Calibri" w:eastAsia="Times New Roman" w:hAnsi="Calibri" w:cs="Calibri"/>
                <w:lang w:eastAsia="en-GB"/>
              </w:rPr>
            </w:pPr>
            <w:r w:rsidRPr="003E3F03">
              <w:rPr>
                <w:rFonts w:ascii="Calibri" w:eastAsia="Times New Roman" w:hAnsi="Calibri" w:cs="Calibri"/>
                <w:lang w:eastAsia="en-GB"/>
              </w:rPr>
              <w:t>2018 – Q2</w:t>
            </w:r>
          </w:p>
        </w:tc>
        <w:tc>
          <w:tcPr>
            <w:tcW w:w="1540" w:type="dxa"/>
            <w:noWrap/>
            <w:hideMark/>
          </w:tcPr>
          <w:p w14:paraId="3FFDD20A"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13</w:t>
            </w:r>
          </w:p>
        </w:tc>
        <w:tc>
          <w:tcPr>
            <w:tcW w:w="1540" w:type="dxa"/>
            <w:hideMark/>
          </w:tcPr>
          <w:p w14:paraId="076F917E"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263</w:t>
            </w:r>
          </w:p>
        </w:tc>
        <w:tc>
          <w:tcPr>
            <w:tcW w:w="1540" w:type="dxa"/>
            <w:hideMark/>
          </w:tcPr>
          <w:p w14:paraId="5E2D49AA"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264</w:t>
            </w:r>
          </w:p>
        </w:tc>
        <w:tc>
          <w:tcPr>
            <w:tcW w:w="1540" w:type="dxa"/>
            <w:hideMark/>
          </w:tcPr>
          <w:p w14:paraId="0A6FF61F"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171</w:t>
            </w:r>
          </w:p>
        </w:tc>
        <w:tc>
          <w:tcPr>
            <w:tcW w:w="1540" w:type="dxa"/>
            <w:hideMark/>
          </w:tcPr>
          <w:p w14:paraId="0441C44E"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711</w:t>
            </w:r>
          </w:p>
        </w:tc>
      </w:tr>
      <w:tr w:rsidR="005757B8" w:rsidRPr="00916A56" w14:paraId="31F76270" w14:textId="77777777" w:rsidTr="005757B8">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31226E7B" w14:textId="77777777" w:rsidR="005757B8" w:rsidRPr="003E3F03" w:rsidRDefault="005757B8" w:rsidP="005757B8">
            <w:pPr>
              <w:jc w:val="center"/>
              <w:rPr>
                <w:rFonts w:ascii="Calibri" w:eastAsia="Times New Roman" w:hAnsi="Calibri" w:cs="Calibri"/>
                <w:lang w:eastAsia="en-GB"/>
              </w:rPr>
            </w:pPr>
            <w:r w:rsidRPr="003E3F03">
              <w:rPr>
                <w:rFonts w:ascii="Calibri" w:eastAsia="Times New Roman" w:hAnsi="Calibri" w:cs="Calibri"/>
                <w:lang w:eastAsia="en-GB"/>
              </w:rPr>
              <w:t>2018 – Q3</w:t>
            </w:r>
          </w:p>
        </w:tc>
        <w:tc>
          <w:tcPr>
            <w:tcW w:w="1540" w:type="dxa"/>
            <w:noWrap/>
            <w:hideMark/>
          </w:tcPr>
          <w:p w14:paraId="10F529FF"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10</w:t>
            </w:r>
          </w:p>
        </w:tc>
        <w:tc>
          <w:tcPr>
            <w:tcW w:w="1540" w:type="dxa"/>
            <w:hideMark/>
          </w:tcPr>
          <w:p w14:paraId="2858CFCA"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268</w:t>
            </w:r>
          </w:p>
        </w:tc>
        <w:tc>
          <w:tcPr>
            <w:tcW w:w="1540" w:type="dxa"/>
            <w:hideMark/>
          </w:tcPr>
          <w:p w14:paraId="72283C0A"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301</w:t>
            </w:r>
          </w:p>
        </w:tc>
        <w:tc>
          <w:tcPr>
            <w:tcW w:w="1540" w:type="dxa"/>
            <w:hideMark/>
          </w:tcPr>
          <w:p w14:paraId="0C944CAA"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165</w:t>
            </w:r>
          </w:p>
        </w:tc>
        <w:tc>
          <w:tcPr>
            <w:tcW w:w="1540" w:type="dxa"/>
            <w:hideMark/>
          </w:tcPr>
          <w:p w14:paraId="304DC125"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744</w:t>
            </w:r>
          </w:p>
        </w:tc>
      </w:tr>
      <w:tr w:rsidR="005757B8" w:rsidRPr="00916A56" w14:paraId="3FF8D4C6" w14:textId="77777777" w:rsidTr="005757B8">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7A882CCA" w14:textId="77777777" w:rsidR="005757B8" w:rsidRPr="003E3F03" w:rsidRDefault="005757B8" w:rsidP="005757B8">
            <w:pPr>
              <w:jc w:val="center"/>
              <w:rPr>
                <w:rFonts w:ascii="Calibri" w:eastAsia="Times New Roman" w:hAnsi="Calibri" w:cs="Calibri"/>
                <w:lang w:eastAsia="en-GB"/>
              </w:rPr>
            </w:pPr>
            <w:r w:rsidRPr="003E3F03">
              <w:rPr>
                <w:rFonts w:ascii="Calibri" w:eastAsia="Times New Roman" w:hAnsi="Calibri" w:cs="Calibri"/>
                <w:lang w:eastAsia="en-GB"/>
              </w:rPr>
              <w:t>2018 – Q4</w:t>
            </w:r>
          </w:p>
        </w:tc>
        <w:tc>
          <w:tcPr>
            <w:tcW w:w="1540" w:type="dxa"/>
            <w:noWrap/>
            <w:hideMark/>
          </w:tcPr>
          <w:p w14:paraId="552B33DF"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14</w:t>
            </w:r>
          </w:p>
        </w:tc>
        <w:tc>
          <w:tcPr>
            <w:tcW w:w="1540" w:type="dxa"/>
            <w:hideMark/>
          </w:tcPr>
          <w:p w14:paraId="7571E0D4"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250</w:t>
            </w:r>
          </w:p>
        </w:tc>
        <w:tc>
          <w:tcPr>
            <w:tcW w:w="1540" w:type="dxa"/>
            <w:hideMark/>
          </w:tcPr>
          <w:p w14:paraId="2CCB17A8"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302</w:t>
            </w:r>
          </w:p>
        </w:tc>
        <w:tc>
          <w:tcPr>
            <w:tcW w:w="1540" w:type="dxa"/>
            <w:hideMark/>
          </w:tcPr>
          <w:p w14:paraId="06575E94"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193</w:t>
            </w:r>
          </w:p>
        </w:tc>
        <w:tc>
          <w:tcPr>
            <w:tcW w:w="1540" w:type="dxa"/>
            <w:hideMark/>
          </w:tcPr>
          <w:p w14:paraId="60D3FF5F"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759</w:t>
            </w:r>
          </w:p>
        </w:tc>
      </w:tr>
      <w:tr w:rsidR="005757B8" w:rsidRPr="00916A56" w14:paraId="41F361A5" w14:textId="77777777" w:rsidTr="005757B8">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48079409" w14:textId="77777777" w:rsidR="005757B8" w:rsidRPr="003E3F03" w:rsidRDefault="005757B8" w:rsidP="005757B8">
            <w:pPr>
              <w:jc w:val="center"/>
              <w:rPr>
                <w:rFonts w:ascii="Calibri" w:eastAsia="Times New Roman" w:hAnsi="Calibri" w:cs="Calibri"/>
                <w:i/>
                <w:iCs/>
                <w:lang w:eastAsia="en-GB"/>
              </w:rPr>
            </w:pPr>
            <w:r w:rsidRPr="003E3F03">
              <w:rPr>
                <w:rFonts w:ascii="Calibri" w:eastAsia="Times New Roman" w:hAnsi="Calibri" w:cs="Calibri"/>
                <w:i/>
                <w:iCs/>
                <w:lang w:eastAsia="en-GB"/>
              </w:rPr>
              <w:t>2018 Total</w:t>
            </w:r>
          </w:p>
        </w:tc>
        <w:tc>
          <w:tcPr>
            <w:tcW w:w="1540" w:type="dxa"/>
            <w:noWrap/>
            <w:hideMark/>
          </w:tcPr>
          <w:p w14:paraId="65C6EA85" w14:textId="77777777" w:rsidR="005757B8" w:rsidRPr="006F549C"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sidRPr="006F549C">
              <w:rPr>
                <w:rFonts w:ascii="Calibri" w:eastAsia="Times New Roman" w:hAnsi="Calibri" w:cs="Calibri"/>
                <w:b/>
                <w:i/>
                <w:iCs/>
                <w:lang w:eastAsia="en-GB"/>
              </w:rPr>
              <w:t>44</w:t>
            </w:r>
          </w:p>
        </w:tc>
        <w:tc>
          <w:tcPr>
            <w:tcW w:w="1540" w:type="dxa"/>
            <w:hideMark/>
          </w:tcPr>
          <w:p w14:paraId="1B1FD493" w14:textId="77777777" w:rsidR="005757B8" w:rsidRPr="006F549C"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sidRPr="006F549C">
              <w:rPr>
                <w:rFonts w:ascii="Calibri" w:eastAsia="Times New Roman" w:hAnsi="Calibri" w:cs="Calibri"/>
                <w:b/>
                <w:i/>
                <w:iCs/>
                <w:lang w:eastAsia="en-GB"/>
              </w:rPr>
              <w:t>1,004</w:t>
            </w:r>
          </w:p>
        </w:tc>
        <w:tc>
          <w:tcPr>
            <w:tcW w:w="1540" w:type="dxa"/>
            <w:hideMark/>
          </w:tcPr>
          <w:p w14:paraId="2F2AC03A" w14:textId="77777777" w:rsidR="005757B8" w:rsidRPr="006F549C"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sidRPr="006F549C">
              <w:rPr>
                <w:rFonts w:ascii="Calibri" w:eastAsia="Times New Roman" w:hAnsi="Calibri" w:cs="Calibri"/>
                <w:b/>
                <w:i/>
                <w:iCs/>
                <w:lang w:eastAsia="en-GB"/>
              </w:rPr>
              <w:t>1,107</w:t>
            </w:r>
          </w:p>
        </w:tc>
        <w:tc>
          <w:tcPr>
            <w:tcW w:w="1540" w:type="dxa"/>
            <w:hideMark/>
          </w:tcPr>
          <w:p w14:paraId="161D4D16" w14:textId="77777777" w:rsidR="005757B8" w:rsidRPr="006F549C"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sidRPr="006F549C">
              <w:rPr>
                <w:rFonts w:ascii="Calibri" w:eastAsia="Times New Roman" w:hAnsi="Calibri" w:cs="Calibri"/>
                <w:b/>
                <w:i/>
                <w:iCs/>
                <w:lang w:eastAsia="en-GB"/>
              </w:rPr>
              <w:t>670</w:t>
            </w:r>
          </w:p>
        </w:tc>
        <w:tc>
          <w:tcPr>
            <w:tcW w:w="1540" w:type="dxa"/>
            <w:hideMark/>
          </w:tcPr>
          <w:p w14:paraId="7D22FA90" w14:textId="77777777" w:rsidR="005757B8" w:rsidRPr="006F549C"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sidRPr="006F549C">
              <w:rPr>
                <w:rFonts w:ascii="Calibri" w:eastAsia="Times New Roman" w:hAnsi="Calibri" w:cs="Calibri"/>
                <w:b/>
                <w:i/>
                <w:iCs/>
                <w:lang w:eastAsia="en-GB"/>
              </w:rPr>
              <w:t>2,825</w:t>
            </w:r>
          </w:p>
        </w:tc>
      </w:tr>
      <w:tr w:rsidR="005757B8" w:rsidRPr="00916A56" w14:paraId="2CB8EA8B" w14:textId="77777777" w:rsidTr="005757B8">
        <w:trPr>
          <w:trHeight w:val="324"/>
        </w:trPr>
        <w:tc>
          <w:tcPr>
            <w:cnfStyle w:val="001000000000" w:firstRow="0" w:lastRow="0" w:firstColumn="1" w:lastColumn="0" w:oddVBand="0" w:evenVBand="0" w:oddHBand="0" w:evenHBand="0" w:firstRowFirstColumn="0" w:firstRowLastColumn="0" w:lastRowFirstColumn="0" w:lastRowLastColumn="0"/>
            <w:tcW w:w="1338" w:type="dxa"/>
            <w:noWrap/>
          </w:tcPr>
          <w:p w14:paraId="30F5D02F" w14:textId="77777777" w:rsidR="005757B8" w:rsidRPr="003E3F03" w:rsidRDefault="005757B8" w:rsidP="005757B8">
            <w:pPr>
              <w:jc w:val="center"/>
              <w:rPr>
                <w:rFonts w:ascii="Calibri" w:eastAsia="Times New Roman" w:hAnsi="Calibri" w:cs="Calibri"/>
                <w:b w:val="0"/>
                <w:bCs w:val="0"/>
                <w:lang w:eastAsia="en-GB"/>
              </w:rPr>
            </w:pPr>
          </w:p>
        </w:tc>
        <w:tc>
          <w:tcPr>
            <w:tcW w:w="1540" w:type="dxa"/>
            <w:noWrap/>
          </w:tcPr>
          <w:p w14:paraId="61405B5C"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1540" w:type="dxa"/>
          </w:tcPr>
          <w:p w14:paraId="7CFDD2C7"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1540" w:type="dxa"/>
          </w:tcPr>
          <w:p w14:paraId="308C0DE3"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1540" w:type="dxa"/>
          </w:tcPr>
          <w:p w14:paraId="07FD7F08"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1540" w:type="dxa"/>
          </w:tcPr>
          <w:p w14:paraId="22FF06E9"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r>
      <w:tr w:rsidR="005757B8" w:rsidRPr="00916A56" w14:paraId="20E813E6" w14:textId="77777777" w:rsidTr="005757B8">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4D0A9E6D" w14:textId="77777777" w:rsidR="005757B8" w:rsidRPr="003E3F03" w:rsidRDefault="005757B8" w:rsidP="005757B8">
            <w:pPr>
              <w:jc w:val="center"/>
              <w:rPr>
                <w:rFonts w:ascii="Calibri" w:eastAsia="Times New Roman" w:hAnsi="Calibri" w:cs="Calibri"/>
                <w:lang w:eastAsia="en-GB"/>
              </w:rPr>
            </w:pPr>
            <w:r w:rsidRPr="003E3F03">
              <w:rPr>
                <w:rFonts w:ascii="Calibri" w:eastAsia="Times New Roman" w:hAnsi="Calibri" w:cs="Calibri"/>
                <w:lang w:eastAsia="en-GB"/>
              </w:rPr>
              <w:t>2019 – Q1</w:t>
            </w:r>
          </w:p>
        </w:tc>
        <w:tc>
          <w:tcPr>
            <w:tcW w:w="1540" w:type="dxa"/>
            <w:noWrap/>
            <w:hideMark/>
          </w:tcPr>
          <w:p w14:paraId="2B6CA3D3"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12</w:t>
            </w:r>
          </w:p>
        </w:tc>
        <w:tc>
          <w:tcPr>
            <w:tcW w:w="1540" w:type="dxa"/>
            <w:hideMark/>
          </w:tcPr>
          <w:p w14:paraId="01D5A288" w14:textId="77777777" w:rsidR="005757B8" w:rsidRPr="003E3F03" w:rsidRDefault="00921013"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eastAsia="Times New Roman" w:hAnsi="Calibri" w:cs="Calibri"/>
                <w:lang w:eastAsia="en-GB"/>
              </w:rPr>
              <w:t>167</w:t>
            </w:r>
          </w:p>
        </w:tc>
        <w:tc>
          <w:tcPr>
            <w:tcW w:w="1540" w:type="dxa"/>
            <w:hideMark/>
          </w:tcPr>
          <w:p w14:paraId="7BC8FCD1"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233</w:t>
            </w:r>
          </w:p>
        </w:tc>
        <w:tc>
          <w:tcPr>
            <w:tcW w:w="1540" w:type="dxa"/>
            <w:hideMark/>
          </w:tcPr>
          <w:p w14:paraId="6897CDB8"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142</w:t>
            </w:r>
          </w:p>
        </w:tc>
        <w:tc>
          <w:tcPr>
            <w:tcW w:w="1540" w:type="dxa"/>
            <w:hideMark/>
          </w:tcPr>
          <w:p w14:paraId="22BBFD10" w14:textId="77777777" w:rsidR="005757B8" w:rsidRPr="003E3F03" w:rsidRDefault="00921013"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eastAsia="Times New Roman" w:hAnsi="Calibri" w:cs="Calibri"/>
                <w:lang w:eastAsia="en-GB"/>
              </w:rPr>
              <w:t>554</w:t>
            </w:r>
          </w:p>
        </w:tc>
      </w:tr>
      <w:tr w:rsidR="005757B8" w:rsidRPr="00916A56" w14:paraId="00951EA9" w14:textId="77777777" w:rsidTr="005757B8">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0250242B" w14:textId="77777777" w:rsidR="005757B8" w:rsidRPr="003E3F03" w:rsidRDefault="005757B8" w:rsidP="005757B8">
            <w:pPr>
              <w:jc w:val="center"/>
              <w:rPr>
                <w:rFonts w:ascii="Calibri" w:eastAsia="Times New Roman" w:hAnsi="Calibri" w:cs="Calibri"/>
                <w:lang w:eastAsia="en-GB"/>
              </w:rPr>
            </w:pPr>
            <w:r w:rsidRPr="003E3F03">
              <w:rPr>
                <w:rFonts w:ascii="Calibri" w:eastAsia="Times New Roman" w:hAnsi="Calibri" w:cs="Calibri"/>
                <w:lang w:eastAsia="en-GB"/>
              </w:rPr>
              <w:t>2019 – Q2</w:t>
            </w:r>
          </w:p>
        </w:tc>
        <w:tc>
          <w:tcPr>
            <w:tcW w:w="1540" w:type="dxa"/>
            <w:noWrap/>
            <w:hideMark/>
          </w:tcPr>
          <w:p w14:paraId="57882F48"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8</w:t>
            </w:r>
          </w:p>
        </w:tc>
        <w:tc>
          <w:tcPr>
            <w:tcW w:w="1540" w:type="dxa"/>
            <w:hideMark/>
          </w:tcPr>
          <w:p w14:paraId="1E8AB6B3"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244</w:t>
            </w:r>
          </w:p>
        </w:tc>
        <w:tc>
          <w:tcPr>
            <w:tcW w:w="1540" w:type="dxa"/>
            <w:hideMark/>
          </w:tcPr>
          <w:p w14:paraId="4A8FBDD4"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295</w:t>
            </w:r>
          </w:p>
        </w:tc>
        <w:tc>
          <w:tcPr>
            <w:tcW w:w="1540" w:type="dxa"/>
            <w:hideMark/>
          </w:tcPr>
          <w:p w14:paraId="07724ED4"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172</w:t>
            </w:r>
          </w:p>
        </w:tc>
        <w:tc>
          <w:tcPr>
            <w:tcW w:w="1540" w:type="dxa"/>
            <w:hideMark/>
          </w:tcPr>
          <w:p w14:paraId="4746C234"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719</w:t>
            </w:r>
          </w:p>
        </w:tc>
      </w:tr>
      <w:tr w:rsidR="005757B8" w:rsidRPr="00916A56" w14:paraId="6CD949A5" w14:textId="77777777" w:rsidTr="005757B8">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73C5DDBB" w14:textId="77777777" w:rsidR="005757B8" w:rsidRPr="003E3F03" w:rsidRDefault="005757B8" w:rsidP="005757B8">
            <w:pPr>
              <w:jc w:val="center"/>
              <w:rPr>
                <w:rFonts w:ascii="Calibri" w:eastAsia="Times New Roman" w:hAnsi="Calibri" w:cs="Calibri"/>
                <w:lang w:eastAsia="en-GB"/>
              </w:rPr>
            </w:pPr>
            <w:r w:rsidRPr="003E3F03">
              <w:rPr>
                <w:rFonts w:ascii="Calibri" w:eastAsia="Times New Roman" w:hAnsi="Calibri" w:cs="Calibri"/>
                <w:lang w:eastAsia="en-GB"/>
              </w:rPr>
              <w:lastRenderedPageBreak/>
              <w:t>2019 – Q3</w:t>
            </w:r>
          </w:p>
        </w:tc>
        <w:tc>
          <w:tcPr>
            <w:tcW w:w="1540" w:type="dxa"/>
            <w:noWrap/>
            <w:hideMark/>
          </w:tcPr>
          <w:p w14:paraId="08D852D0"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10</w:t>
            </w:r>
          </w:p>
        </w:tc>
        <w:tc>
          <w:tcPr>
            <w:tcW w:w="1540" w:type="dxa"/>
            <w:hideMark/>
          </w:tcPr>
          <w:p w14:paraId="6DEDA896"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266</w:t>
            </w:r>
          </w:p>
        </w:tc>
        <w:tc>
          <w:tcPr>
            <w:tcW w:w="1540" w:type="dxa"/>
            <w:hideMark/>
          </w:tcPr>
          <w:p w14:paraId="51697714"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268</w:t>
            </w:r>
          </w:p>
        </w:tc>
        <w:tc>
          <w:tcPr>
            <w:tcW w:w="1540" w:type="dxa"/>
            <w:hideMark/>
          </w:tcPr>
          <w:p w14:paraId="560A2C61"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191</w:t>
            </w:r>
          </w:p>
        </w:tc>
        <w:tc>
          <w:tcPr>
            <w:tcW w:w="1540" w:type="dxa"/>
            <w:hideMark/>
          </w:tcPr>
          <w:p w14:paraId="5F557794"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735</w:t>
            </w:r>
          </w:p>
        </w:tc>
      </w:tr>
      <w:tr w:rsidR="005757B8" w:rsidRPr="00916A56" w14:paraId="0391F7E5" w14:textId="77777777" w:rsidTr="005757B8">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66EB39D2" w14:textId="77777777" w:rsidR="005757B8" w:rsidRPr="003E3F03" w:rsidRDefault="005757B8" w:rsidP="005757B8">
            <w:pPr>
              <w:jc w:val="center"/>
              <w:rPr>
                <w:rFonts w:ascii="Calibri" w:eastAsia="Times New Roman" w:hAnsi="Calibri" w:cs="Calibri"/>
                <w:lang w:eastAsia="en-GB"/>
              </w:rPr>
            </w:pPr>
            <w:r w:rsidRPr="003E3F03">
              <w:rPr>
                <w:rFonts w:ascii="Calibri" w:eastAsia="Times New Roman" w:hAnsi="Calibri" w:cs="Calibri"/>
                <w:lang w:eastAsia="en-GB"/>
              </w:rPr>
              <w:t>2019 – Q4</w:t>
            </w:r>
          </w:p>
        </w:tc>
        <w:tc>
          <w:tcPr>
            <w:tcW w:w="1540" w:type="dxa"/>
            <w:noWrap/>
            <w:hideMark/>
          </w:tcPr>
          <w:p w14:paraId="6916294B"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19</w:t>
            </w:r>
          </w:p>
        </w:tc>
        <w:tc>
          <w:tcPr>
            <w:tcW w:w="1540" w:type="dxa"/>
            <w:hideMark/>
          </w:tcPr>
          <w:p w14:paraId="123B13B1"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259</w:t>
            </w:r>
          </w:p>
        </w:tc>
        <w:tc>
          <w:tcPr>
            <w:tcW w:w="1540" w:type="dxa"/>
            <w:hideMark/>
          </w:tcPr>
          <w:p w14:paraId="7F6F20EC"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326</w:t>
            </w:r>
          </w:p>
        </w:tc>
        <w:tc>
          <w:tcPr>
            <w:tcW w:w="1540" w:type="dxa"/>
            <w:hideMark/>
          </w:tcPr>
          <w:p w14:paraId="654F03B4"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230</w:t>
            </w:r>
          </w:p>
        </w:tc>
        <w:tc>
          <w:tcPr>
            <w:tcW w:w="1540" w:type="dxa"/>
            <w:hideMark/>
          </w:tcPr>
          <w:p w14:paraId="234E07E7"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834</w:t>
            </w:r>
          </w:p>
        </w:tc>
      </w:tr>
      <w:tr w:rsidR="005757B8" w:rsidRPr="00916A56" w14:paraId="7F73071E" w14:textId="77777777" w:rsidTr="005757B8">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11DFD0E7" w14:textId="77777777" w:rsidR="005757B8" w:rsidRPr="003E3F03" w:rsidRDefault="005757B8" w:rsidP="005757B8">
            <w:pPr>
              <w:jc w:val="center"/>
              <w:rPr>
                <w:rFonts w:ascii="Calibri" w:eastAsia="Times New Roman" w:hAnsi="Calibri" w:cs="Calibri"/>
                <w:i/>
                <w:iCs/>
                <w:lang w:eastAsia="en-GB"/>
              </w:rPr>
            </w:pPr>
            <w:r w:rsidRPr="003E3F03">
              <w:rPr>
                <w:rFonts w:ascii="Calibri" w:eastAsia="Times New Roman" w:hAnsi="Calibri" w:cs="Calibri"/>
                <w:i/>
                <w:iCs/>
                <w:lang w:eastAsia="en-GB"/>
              </w:rPr>
              <w:t>2019 Total</w:t>
            </w:r>
          </w:p>
        </w:tc>
        <w:tc>
          <w:tcPr>
            <w:tcW w:w="1540" w:type="dxa"/>
            <w:noWrap/>
            <w:hideMark/>
          </w:tcPr>
          <w:p w14:paraId="525DF70C" w14:textId="77777777" w:rsidR="005757B8" w:rsidRPr="006F549C"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sidRPr="006F549C">
              <w:rPr>
                <w:rFonts w:ascii="Calibri" w:eastAsia="Times New Roman" w:hAnsi="Calibri" w:cs="Calibri"/>
                <w:b/>
                <w:i/>
                <w:iCs/>
                <w:lang w:eastAsia="en-GB"/>
              </w:rPr>
              <w:t>49</w:t>
            </w:r>
          </w:p>
        </w:tc>
        <w:tc>
          <w:tcPr>
            <w:tcW w:w="1540" w:type="dxa"/>
            <w:hideMark/>
          </w:tcPr>
          <w:p w14:paraId="79DB6BFC" w14:textId="77777777" w:rsidR="005757B8" w:rsidRPr="006F549C"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sidRPr="006F549C">
              <w:rPr>
                <w:rFonts w:ascii="Calibri" w:eastAsia="Times New Roman" w:hAnsi="Calibri" w:cs="Calibri"/>
                <w:b/>
                <w:i/>
                <w:iCs/>
                <w:lang w:eastAsia="en-GB"/>
              </w:rPr>
              <w:t>935</w:t>
            </w:r>
          </w:p>
        </w:tc>
        <w:tc>
          <w:tcPr>
            <w:tcW w:w="1540" w:type="dxa"/>
            <w:hideMark/>
          </w:tcPr>
          <w:p w14:paraId="71CAA093" w14:textId="77777777" w:rsidR="005757B8" w:rsidRPr="006F549C"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sidRPr="006F549C">
              <w:rPr>
                <w:rFonts w:ascii="Calibri" w:eastAsia="Times New Roman" w:hAnsi="Calibri" w:cs="Calibri"/>
                <w:b/>
                <w:i/>
                <w:iCs/>
                <w:lang w:eastAsia="en-GB"/>
              </w:rPr>
              <w:t>1,122</w:t>
            </w:r>
          </w:p>
        </w:tc>
        <w:tc>
          <w:tcPr>
            <w:tcW w:w="1540" w:type="dxa"/>
            <w:hideMark/>
          </w:tcPr>
          <w:p w14:paraId="057F1553" w14:textId="77777777" w:rsidR="005757B8" w:rsidRPr="006F549C"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sidRPr="006F549C">
              <w:rPr>
                <w:rFonts w:ascii="Calibri" w:eastAsia="Times New Roman" w:hAnsi="Calibri" w:cs="Calibri"/>
                <w:b/>
                <w:i/>
                <w:iCs/>
                <w:lang w:eastAsia="en-GB"/>
              </w:rPr>
              <w:t>735</w:t>
            </w:r>
          </w:p>
        </w:tc>
        <w:tc>
          <w:tcPr>
            <w:tcW w:w="1540" w:type="dxa"/>
            <w:hideMark/>
          </w:tcPr>
          <w:p w14:paraId="7761D69C" w14:textId="77777777" w:rsidR="005757B8" w:rsidRPr="006F549C" w:rsidRDefault="00921013"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Pr>
                <w:rFonts w:ascii="Calibri" w:eastAsia="Times New Roman" w:hAnsi="Calibri" w:cs="Calibri"/>
                <w:b/>
                <w:i/>
                <w:iCs/>
                <w:lang w:eastAsia="en-GB"/>
              </w:rPr>
              <w:t>2,842</w:t>
            </w:r>
          </w:p>
        </w:tc>
      </w:tr>
      <w:tr w:rsidR="005757B8" w:rsidRPr="00916A56" w14:paraId="543D2386" w14:textId="77777777" w:rsidTr="005757B8">
        <w:trPr>
          <w:trHeight w:val="324"/>
        </w:trPr>
        <w:tc>
          <w:tcPr>
            <w:cnfStyle w:val="001000000000" w:firstRow="0" w:lastRow="0" w:firstColumn="1" w:lastColumn="0" w:oddVBand="0" w:evenVBand="0" w:oddHBand="0" w:evenHBand="0" w:firstRowFirstColumn="0" w:firstRowLastColumn="0" w:lastRowFirstColumn="0" w:lastRowLastColumn="0"/>
            <w:tcW w:w="1338" w:type="dxa"/>
            <w:noWrap/>
          </w:tcPr>
          <w:p w14:paraId="7AE51231" w14:textId="77777777" w:rsidR="005757B8" w:rsidRPr="003E3F03" w:rsidRDefault="005757B8" w:rsidP="005757B8">
            <w:pPr>
              <w:jc w:val="center"/>
              <w:rPr>
                <w:rFonts w:ascii="Calibri" w:eastAsia="Times New Roman" w:hAnsi="Calibri" w:cs="Calibri"/>
                <w:b w:val="0"/>
                <w:bCs w:val="0"/>
                <w:lang w:eastAsia="en-GB"/>
              </w:rPr>
            </w:pPr>
          </w:p>
        </w:tc>
        <w:tc>
          <w:tcPr>
            <w:tcW w:w="1540" w:type="dxa"/>
            <w:noWrap/>
          </w:tcPr>
          <w:p w14:paraId="40F7CB3A"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1540" w:type="dxa"/>
          </w:tcPr>
          <w:p w14:paraId="7D3C396C"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1540" w:type="dxa"/>
          </w:tcPr>
          <w:p w14:paraId="0A73DDC6"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1540" w:type="dxa"/>
          </w:tcPr>
          <w:p w14:paraId="1A0F9A06"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1540" w:type="dxa"/>
          </w:tcPr>
          <w:p w14:paraId="63948848"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r>
      <w:tr w:rsidR="005757B8" w:rsidRPr="00916A56" w14:paraId="015FF42F" w14:textId="77777777" w:rsidTr="005757B8">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48889EB3" w14:textId="77777777" w:rsidR="005757B8" w:rsidRPr="003E3F03" w:rsidRDefault="005757B8" w:rsidP="005757B8">
            <w:pPr>
              <w:jc w:val="center"/>
              <w:rPr>
                <w:rFonts w:ascii="Calibri" w:eastAsia="Times New Roman" w:hAnsi="Calibri" w:cs="Calibri"/>
                <w:lang w:eastAsia="en-GB"/>
              </w:rPr>
            </w:pPr>
            <w:r w:rsidRPr="003E3F03">
              <w:rPr>
                <w:rFonts w:ascii="Calibri" w:eastAsia="Times New Roman" w:hAnsi="Calibri" w:cs="Calibri"/>
                <w:lang w:eastAsia="en-GB"/>
              </w:rPr>
              <w:t>2020 – Q1</w:t>
            </w:r>
          </w:p>
        </w:tc>
        <w:tc>
          <w:tcPr>
            <w:tcW w:w="1540" w:type="dxa"/>
            <w:noWrap/>
            <w:hideMark/>
          </w:tcPr>
          <w:p w14:paraId="3C3D1CC2"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15</w:t>
            </w:r>
          </w:p>
        </w:tc>
        <w:tc>
          <w:tcPr>
            <w:tcW w:w="1540" w:type="dxa"/>
            <w:hideMark/>
          </w:tcPr>
          <w:p w14:paraId="0F850F41"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244</w:t>
            </w:r>
          </w:p>
        </w:tc>
        <w:tc>
          <w:tcPr>
            <w:tcW w:w="1540" w:type="dxa"/>
            <w:hideMark/>
          </w:tcPr>
          <w:p w14:paraId="7EA6DCBE"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229</w:t>
            </w:r>
          </w:p>
        </w:tc>
        <w:tc>
          <w:tcPr>
            <w:tcW w:w="1540" w:type="dxa"/>
            <w:hideMark/>
          </w:tcPr>
          <w:p w14:paraId="626F64B3"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150</w:t>
            </w:r>
          </w:p>
        </w:tc>
        <w:tc>
          <w:tcPr>
            <w:tcW w:w="1540" w:type="dxa"/>
            <w:hideMark/>
          </w:tcPr>
          <w:p w14:paraId="667714A5"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638</w:t>
            </w:r>
          </w:p>
        </w:tc>
      </w:tr>
      <w:tr w:rsidR="005757B8" w:rsidRPr="00916A56" w14:paraId="0CB95221" w14:textId="77777777" w:rsidTr="005757B8">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59275450" w14:textId="77777777" w:rsidR="005757B8" w:rsidRPr="003E3F03" w:rsidRDefault="005757B8" w:rsidP="005757B8">
            <w:pPr>
              <w:jc w:val="center"/>
              <w:rPr>
                <w:rFonts w:ascii="Calibri" w:eastAsia="Times New Roman" w:hAnsi="Calibri" w:cs="Calibri"/>
                <w:i/>
                <w:iCs/>
                <w:lang w:eastAsia="en-GB"/>
              </w:rPr>
            </w:pPr>
            <w:r w:rsidRPr="003E3F03">
              <w:rPr>
                <w:rFonts w:ascii="Calibri" w:eastAsia="Times New Roman" w:hAnsi="Calibri" w:cs="Calibri"/>
                <w:i/>
                <w:iCs/>
                <w:lang w:eastAsia="en-GB"/>
              </w:rPr>
              <w:t>2020 - Q2</w:t>
            </w:r>
          </w:p>
        </w:tc>
        <w:tc>
          <w:tcPr>
            <w:tcW w:w="1540" w:type="dxa"/>
            <w:noWrap/>
            <w:hideMark/>
          </w:tcPr>
          <w:p w14:paraId="54DA6577"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lang w:eastAsia="en-GB"/>
              </w:rPr>
            </w:pPr>
            <w:r w:rsidRPr="003E3F03">
              <w:rPr>
                <w:rFonts w:ascii="Calibri" w:eastAsia="Times New Roman" w:hAnsi="Calibri" w:cs="Calibri"/>
                <w:i/>
                <w:iCs/>
                <w:lang w:eastAsia="en-GB"/>
              </w:rPr>
              <w:t>1</w:t>
            </w:r>
          </w:p>
        </w:tc>
        <w:tc>
          <w:tcPr>
            <w:tcW w:w="1540" w:type="dxa"/>
            <w:hideMark/>
          </w:tcPr>
          <w:p w14:paraId="59737AD1"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lang w:eastAsia="en-GB"/>
              </w:rPr>
            </w:pPr>
            <w:r w:rsidRPr="003E3F03">
              <w:rPr>
                <w:rFonts w:ascii="Calibri" w:eastAsia="Times New Roman" w:hAnsi="Calibri" w:cs="Calibri"/>
                <w:i/>
                <w:iCs/>
                <w:lang w:eastAsia="en-GB"/>
              </w:rPr>
              <w:t>107</w:t>
            </w:r>
          </w:p>
        </w:tc>
        <w:tc>
          <w:tcPr>
            <w:tcW w:w="1540" w:type="dxa"/>
            <w:hideMark/>
          </w:tcPr>
          <w:p w14:paraId="3E3B960B"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lang w:eastAsia="en-GB"/>
              </w:rPr>
            </w:pPr>
            <w:r w:rsidRPr="003E3F03">
              <w:rPr>
                <w:rFonts w:ascii="Calibri" w:eastAsia="Times New Roman" w:hAnsi="Calibri" w:cs="Calibri"/>
                <w:i/>
                <w:iCs/>
                <w:lang w:eastAsia="en-GB"/>
              </w:rPr>
              <w:t>113</w:t>
            </w:r>
          </w:p>
        </w:tc>
        <w:tc>
          <w:tcPr>
            <w:tcW w:w="1540" w:type="dxa"/>
            <w:hideMark/>
          </w:tcPr>
          <w:p w14:paraId="0EF7EFFA"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lang w:eastAsia="en-GB"/>
              </w:rPr>
            </w:pPr>
            <w:r w:rsidRPr="003E3F03">
              <w:rPr>
                <w:rFonts w:ascii="Calibri" w:eastAsia="Times New Roman" w:hAnsi="Calibri" w:cs="Calibri"/>
                <w:i/>
                <w:iCs/>
                <w:lang w:eastAsia="en-GB"/>
              </w:rPr>
              <w:t>58</w:t>
            </w:r>
          </w:p>
        </w:tc>
        <w:tc>
          <w:tcPr>
            <w:tcW w:w="1540" w:type="dxa"/>
            <w:hideMark/>
          </w:tcPr>
          <w:p w14:paraId="58BE0457" w14:textId="77777777" w:rsidR="005757B8" w:rsidRPr="003E3F03" w:rsidRDefault="005757B8" w:rsidP="005757B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lang w:eastAsia="en-GB"/>
              </w:rPr>
            </w:pPr>
            <w:r w:rsidRPr="003E3F03">
              <w:rPr>
                <w:rFonts w:ascii="Calibri" w:eastAsia="Times New Roman" w:hAnsi="Calibri" w:cs="Calibri"/>
                <w:i/>
                <w:iCs/>
                <w:lang w:eastAsia="en-GB"/>
              </w:rPr>
              <w:t>279</w:t>
            </w:r>
          </w:p>
        </w:tc>
      </w:tr>
      <w:tr w:rsidR="003E3F03" w:rsidRPr="00916A56" w14:paraId="40C79238" w14:textId="77777777" w:rsidTr="000478DE">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3C906B45" w14:textId="77777777" w:rsidR="003E3F03" w:rsidRPr="003E3F03" w:rsidRDefault="003E3F03" w:rsidP="003E3F03">
            <w:pPr>
              <w:jc w:val="center"/>
              <w:rPr>
                <w:rFonts w:ascii="Calibri" w:eastAsia="Times New Roman" w:hAnsi="Calibri" w:cs="Calibri"/>
                <w:lang w:eastAsia="en-GB"/>
              </w:rPr>
            </w:pPr>
            <w:r w:rsidRPr="003E3F03">
              <w:rPr>
                <w:rFonts w:ascii="Calibri" w:eastAsia="Times New Roman" w:hAnsi="Calibri" w:cs="Calibri"/>
                <w:lang w:eastAsia="en-GB"/>
              </w:rPr>
              <w:t>2020 - Q3</w:t>
            </w:r>
          </w:p>
        </w:tc>
        <w:tc>
          <w:tcPr>
            <w:tcW w:w="1540" w:type="dxa"/>
            <w:noWrap/>
            <w:vAlign w:val="center"/>
            <w:hideMark/>
          </w:tcPr>
          <w:p w14:paraId="0B700126" w14:textId="77777777" w:rsidR="003E3F03" w:rsidRPr="003E3F03" w:rsidRDefault="003E3F03" w:rsidP="003E3F0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3F03">
              <w:rPr>
                <w:rFonts w:ascii="Calibri" w:hAnsi="Calibri" w:cs="Calibri"/>
              </w:rPr>
              <w:t>10</w:t>
            </w:r>
          </w:p>
        </w:tc>
        <w:tc>
          <w:tcPr>
            <w:tcW w:w="1540" w:type="dxa"/>
            <w:vAlign w:val="center"/>
            <w:hideMark/>
          </w:tcPr>
          <w:p w14:paraId="62E8C26E" w14:textId="77777777" w:rsidR="003E3F03" w:rsidRPr="003E3F03" w:rsidRDefault="003E3F03" w:rsidP="003E3F0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3F03">
              <w:rPr>
                <w:rFonts w:ascii="Calibri" w:hAnsi="Calibri" w:cs="Calibri"/>
              </w:rPr>
              <w:t>217</w:t>
            </w:r>
          </w:p>
        </w:tc>
        <w:tc>
          <w:tcPr>
            <w:tcW w:w="1540" w:type="dxa"/>
            <w:vAlign w:val="center"/>
            <w:hideMark/>
          </w:tcPr>
          <w:p w14:paraId="1677D593" w14:textId="77777777" w:rsidR="003E3F03" w:rsidRPr="003E3F03" w:rsidRDefault="003E3F03" w:rsidP="003E3F0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3F03">
              <w:rPr>
                <w:rFonts w:ascii="Calibri" w:hAnsi="Calibri" w:cs="Calibri"/>
              </w:rPr>
              <w:t>236</w:t>
            </w:r>
          </w:p>
        </w:tc>
        <w:tc>
          <w:tcPr>
            <w:tcW w:w="1540" w:type="dxa"/>
            <w:vAlign w:val="center"/>
            <w:hideMark/>
          </w:tcPr>
          <w:p w14:paraId="0E491331" w14:textId="77777777" w:rsidR="003E3F03" w:rsidRPr="003E3F03" w:rsidRDefault="003E3F03" w:rsidP="003E3F0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3F03">
              <w:rPr>
                <w:rFonts w:ascii="Calibri" w:hAnsi="Calibri" w:cs="Calibri"/>
              </w:rPr>
              <w:t>168</w:t>
            </w:r>
          </w:p>
        </w:tc>
        <w:tc>
          <w:tcPr>
            <w:tcW w:w="1540" w:type="dxa"/>
            <w:vAlign w:val="center"/>
            <w:hideMark/>
          </w:tcPr>
          <w:p w14:paraId="2471E76A" w14:textId="77777777" w:rsidR="003E3F03" w:rsidRPr="003E3F03" w:rsidRDefault="003E3F03" w:rsidP="003E3F0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3F03">
              <w:rPr>
                <w:rFonts w:ascii="Calibri" w:hAnsi="Calibri" w:cs="Calibri"/>
              </w:rPr>
              <w:t>631</w:t>
            </w:r>
          </w:p>
        </w:tc>
      </w:tr>
      <w:tr w:rsidR="003E3F03" w:rsidRPr="00916A56" w14:paraId="0530E265" w14:textId="77777777" w:rsidTr="000478DE">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43413779" w14:textId="77777777" w:rsidR="003E3F03" w:rsidRPr="003E3F03" w:rsidRDefault="003E3F03" w:rsidP="003E3F03">
            <w:pPr>
              <w:jc w:val="center"/>
              <w:rPr>
                <w:rFonts w:ascii="Calibri" w:eastAsia="Times New Roman" w:hAnsi="Calibri" w:cs="Calibri"/>
                <w:lang w:eastAsia="en-GB"/>
              </w:rPr>
            </w:pPr>
            <w:r w:rsidRPr="003E3F03">
              <w:rPr>
                <w:rFonts w:ascii="Calibri" w:eastAsia="Times New Roman" w:hAnsi="Calibri" w:cs="Calibri"/>
                <w:lang w:eastAsia="en-GB"/>
              </w:rPr>
              <w:t>2020 - Q4</w:t>
            </w:r>
          </w:p>
        </w:tc>
        <w:tc>
          <w:tcPr>
            <w:tcW w:w="1540" w:type="dxa"/>
            <w:noWrap/>
            <w:vAlign w:val="center"/>
            <w:hideMark/>
          </w:tcPr>
          <w:p w14:paraId="37FA0196" w14:textId="77777777" w:rsidR="003E3F03" w:rsidRPr="003E3F03" w:rsidRDefault="003E3F03" w:rsidP="003E3F0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3F03">
              <w:rPr>
                <w:rFonts w:ascii="Calibri" w:hAnsi="Calibri" w:cs="Calibri"/>
              </w:rPr>
              <w:t>15</w:t>
            </w:r>
          </w:p>
        </w:tc>
        <w:tc>
          <w:tcPr>
            <w:tcW w:w="1540" w:type="dxa"/>
            <w:vAlign w:val="center"/>
            <w:hideMark/>
          </w:tcPr>
          <w:p w14:paraId="0D1BAF29" w14:textId="77777777" w:rsidR="003E3F03" w:rsidRPr="003E3F03" w:rsidRDefault="003E3F03" w:rsidP="003E3F0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3F03">
              <w:rPr>
                <w:rFonts w:ascii="Calibri" w:hAnsi="Calibri" w:cs="Calibri"/>
              </w:rPr>
              <w:t>386</w:t>
            </w:r>
          </w:p>
        </w:tc>
        <w:tc>
          <w:tcPr>
            <w:tcW w:w="1540" w:type="dxa"/>
            <w:vAlign w:val="center"/>
            <w:hideMark/>
          </w:tcPr>
          <w:p w14:paraId="7A1B7F4C" w14:textId="77777777" w:rsidR="003E3F03" w:rsidRPr="003E3F03" w:rsidRDefault="003E3F03" w:rsidP="003E3F0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3F03">
              <w:rPr>
                <w:rFonts w:ascii="Calibri" w:hAnsi="Calibri" w:cs="Calibri"/>
              </w:rPr>
              <w:t>350</w:t>
            </w:r>
          </w:p>
        </w:tc>
        <w:tc>
          <w:tcPr>
            <w:tcW w:w="1540" w:type="dxa"/>
            <w:vAlign w:val="center"/>
            <w:hideMark/>
          </w:tcPr>
          <w:p w14:paraId="0BEF8AC9" w14:textId="77777777" w:rsidR="003E3F03" w:rsidRPr="003E3F03" w:rsidRDefault="003E3F03" w:rsidP="003E3F0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3F03">
              <w:rPr>
                <w:rFonts w:ascii="Calibri" w:hAnsi="Calibri" w:cs="Calibri"/>
              </w:rPr>
              <w:t>223</w:t>
            </w:r>
          </w:p>
        </w:tc>
        <w:tc>
          <w:tcPr>
            <w:tcW w:w="1540" w:type="dxa"/>
            <w:vAlign w:val="center"/>
            <w:hideMark/>
          </w:tcPr>
          <w:p w14:paraId="7FAC0460" w14:textId="77777777" w:rsidR="003E3F03" w:rsidRPr="003E3F03" w:rsidRDefault="003E3F03" w:rsidP="003E3F0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3F03">
              <w:rPr>
                <w:rFonts w:ascii="Calibri" w:hAnsi="Calibri" w:cs="Calibri"/>
              </w:rPr>
              <w:t>974</w:t>
            </w:r>
          </w:p>
        </w:tc>
      </w:tr>
      <w:tr w:rsidR="003E3F03" w:rsidRPr="00916A56" w14:paraId="53B97DBE" w14:textId="77777777" w:rsidTr="000478DE">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3F69F88F" w14:textId="77777777" w:rsidR="003E3F03" w:rsidRPr="003E3F03" w:rsidRDefault="003E3F03" w:rsidP="003E3F03">
            <w:pPr>
              <w:jc w:val="center"/>
              <w:rPr>
                <w:rFonts w:ascii="Calibri" w:eastAsia="Times New Roman" w:hAnsi="Calibri" w:cs="Calibri"/>
                <w:i/>
                <w:lang w:eastAsia="en-GB"/>
              </w:rPr>
            </w:pPr>
            <w:r w:rsidRPr="003E3F03">
              <w:rPr>
                <w:rFonts w:ascii="Calibri" w:eastAsia="Times New Roman" w:hAnsi="Calibri" w:cs="Calibri"/>
                <w:i/>
                <w:lang w:eastAsia="en-GB"/>
              </w:rPr>
              <w:t xml:space="preserve">2020 Total </w:t>
            </w:r>
          </w:p>
        </w:tc>
        <w:tc>
          <w:tcPr>
            <w:tcW w:w="1540" w:type="dxa"/>
            <w:noWrap/>
            <w:vAlign w:val="center"/>
            <w:hideMark/>
          </w:tcPr>
          <w:p w14:paraId="5F7164CF" w14:textId="77777777" w:rsidR="003E3F03" w:rsidRPr="006F549C" w:rsidRDefault="003E3F03" w:rsidP="003E3F0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i/>
              </w:rPr>
            </w:pPr>
            <w:r w:rsidRPr="006F549C">
              <w:rPr>
                <w:rFonts w:ascii="Calibri" w:hAnsi="Calibri" w:cs="Calibri"/>
                <w:b/>
                <w:i/>
              </w:rPr>
              <w:t>41</w:t>
            </w:r>
          </w:p>
        </w:tc>
        <w:tc>
          <w:tcPr>
            <w:tcW w:w="1540" w:type="dxa"/>
            <w:vAlign w:val="center"/>
            <w:hideMark/>
          </w:tcPr>
          <w:p w14:paraId="1C353164" w14:textId="77777777" w:rsidR="003E3F03" w:rsidRPr="006F549C" w:rsidRDefault="003E3F03" w:rsidP="003E3F0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i/>
              </w:rPr>
            </w:pPr>
            <w:r w:rsidRPr="006F549C">
              <w:rPr>
                <w:rFonts w:ascii="Calibri" w:hAnsi="Calibri" w:cs="Calibri"/>
                <w:b/>
                <w:i/>
              </w:rPr>
              <w:t>954</w:t>
            </w:r>
          </w:p>
        </w:tc>
        <w:tc>
          <w:tcPr>
            <w:tcW w:w="1540" w:type="dxa"/>
            <w:vAlign w:val="center"/>
            <w:hideMark/>
          </w:tcPr>
          <w:p w14:paraId="3FB49B26" w14:textId="77777777" w:rsidR="003E3F03" w:rsidRPr="006F549C" w:rsidRDefault="003E3F03" w:rsidP="003E3F0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i/>
              </w:rPr>
            </w:pPr>
            <w:r w:rsidRPr="006F549C">
              <w:rPr>
                <w:rFonts w:ascii="Calibri" w:hAnsi="Calibri" w:cs="Calibri"/>
                <w:b/>
                <w:i/>
              </w:rPr>
              <w:t>928</w:t>
            </w:r>
          </w:p>
        </w:tc>
        <w:tc>
          <w:tcPr>
            <w:tcW w:w="1540" w:type="dxa"/>
            <w:vAlign w:val="center"/>
            <w:hideMark/>
          </w:tcPr>
          <w:p w14:paraId="0EB0E822" w14:textId="77777777" w:rsidR="003E3F03" w:rsidRPr="006F549C" w:rsidRDefault="003E3F03" w:rsidP="003E3F0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i/>
              </w:rPr>
            </w:pPr>
            <w:r w:rsidRPr="006F549C">
              <w:rPr>
                <w:rFonts w:ascii="Calibri" w:hAnsi="Calibri" w:cs="Calibri"/>
                <w:b/>
                <w:i/>
              </w:rPr>
              <w:t>599</w:t>
            </w:r>
          </w:p>
        </w:tc>
        <w:tc>
          <w:tcPr>
            <w:tcW w:w="1540" w:type="dxa"/>
            <w:vAlign w:val="center"/>
            <w:hideMark/>
          </w:tcPr>
          <w:p w14:paraId="33C62656" w14:textId="77777777" w:rsidR="003E3F03" w:rsidRPr="006F549C" w:rsidRDefault="003E3F03" w:rsidP="003E3F0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i/>
              </w:rPr>
            </w:pPr>
            <w:r w:rsidRPr="006F549C">
              <w:rPr>
                <w:rFonts w:ascii="Calibri" w:hAnsi="Calibri" w:cs="Calibri"/>
                <w:b/>
                <w:i/>
              </w:rPr>
              <w:t>2,522</w:t>
            </w:r>
          </w:p>
        </w:tc>
      </w:tr>
      <w:tr w:rsidR="003E3F03" w:rsidRPr="00916A56" w14:paraId="30ADD4D1" w14:textId="77777777" w:rsidTr="000478DE">
        <w:trPr>
          <w:trHeight w:val="324"/>
        </w:trPr>
        <w:tc>
          <w:tcPr>
            <w:cnfStyle w:val="001000000000" w:firstRow="0" w:lastRow="0" w:firstColumn="1" w:lastColumn="0" w:oddVBand="0" w:evenVBand="0" w:oddHBand="0" w:evenHBand="0" w:firstRowFirstColumn="0" w:firstRowLastColumn="0" w:lastRowFirstColumn="0" w:lastRowLastColumn="0"/>
            <w:tcW w:w="1338" w:type="dxa"/>
            <w:noWrap/>
          </w:tcPr>
          <w:p w14:paraId="0E19CD53" w14:textId="77777777" w:rsidR="003E3F03" w:rsidRPr="003E3F03" w:rsidRDefault="003E3F03" w:rsidP="003E3F03">
            <w:pPr>
              <w:jc w:val="center"/>
              <w:rPr>
                <w:rFonts w:ascii="Calibri" w:eastAsia="Times New Roman" w:hAnsi="Calibri" w:cs="Calibri"/>
                <w:b w:val="0"/>
                <w:bCs w:val="0"/>
                <w:lang w:eastAsia="en-GB"/>
              </w:rPr>
            </w:pPr>
          </w:p>
        </w:tc>
        <w:tc>
          <w:tcPr>
            <w:tcW w:w="1540" w:type="dxa"/>
            <w:noWrap/>
            <w:vAlign w:val="center"/>
          </w:tcPr>
          <w:p w14:paraId="0EE6A0D4" w14:textId="77777777" w:rsidR="003E3F03" w:rsidRPr="003E3F03" w:rsidRDefault="003E3F03" w:rsidP="003E3F0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540" w:type="dxa"/>
            <w:vAlign w:val="center"/>
          </w:tcPr>
          <w:p w14:paraId="40B496EB" w14:textId="77777777" w:rsidR="003E3F03" w:rsidRPr="003E3F03" w:rsidRDefault="003E3F03" w:rsidP="003E3F0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540" w:type="dxa"/>
            <w:vAlign w:val="center"/>
          </w:tcPr>
          <w:p w14:paraId="6B0E8E29" w14:textId="77777777" w:rsidR="003E3F03" w:rsidRPr="003E3F03" w:rsidRDefault="003E3F03" w:rsidP="003E3F0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540" w:type="dxa"/>
            <w:vAlign w:val="center"/>
          </w:tcPr>
          <w:p w14:paraId="28709E1A" w14:textId="77777777" w:rsidR="003E3F03" w:rsidRPr="003E3F03" w:rsidRDefault="003E3F03" w:rsidP="003E3F0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540" w:type="dxa"/>
            <w:vAlign w:val="center"/>
          </w:tcPr>
          <w:p w14:paraId="036E11CF" w14:textId="77777777" w:rsidR="003E3F03" w:rsidRPr="003E3F03" w:rsidRDefault="003E3F03" w:rsidP="003E3F0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6374EE" w:rsidRPr="00916A56" w14:paraId="14CD6BE7" w14:textId="77777777" w:rsidTr="003E3F03">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17CA2C9F" w14:textId="77777777" w:rsidR="006374EE" w:rsidRPr="003E3F03" w:rsidRDefault="006374EE" w:rsidP="006374EE">
            <w:pPr>
              <w:jc w:val="center"/>
              <w:rPr>
                <w:rFonts w:ascii="Calibri" w:eastAsia="Times New Roman" w:hAnsi="Calibri" w:cs="Calibri"/>
                <w:lang w:eastAsia="en-GB"/>
              </w:rPr>
            </w:pPr>
            <w:r w:rsidRPr="003E3F03">
              <w:rPr>
                <w:rFonts w:ascii="Calibri" w:eastAsia="Times New Roman" w:hAnsi="Calibri" w:cs="Calibri"/>
                <w:lang w:eastAsia="en-GB"/>
              </w:rPr>
              <w:t>2021 - Q1</w:t>
            </w:r>
          </w:p>
        </w:tc>
        <w:tc>
          <w:tcPr>
            <w:tcW w:w="1540" w:type="dxa"/>
            <w:noWrap/>
            <w:vAlign w:val="center"/>
          </w:tcPr>
          <w:p w14:paraId="421E894F" w14:textId="66B9D8CE"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17</w:t>
            </w:r>
          </w:p>
        </w:tc>
        <w:tc>
          <w:tcPr>
            <w:tcW w:w="1540" w:type="dxa"/>
            <w:vAlign w:val="center"/>
          </w:tcPr>
          <w:p w14:paraId="2886625C" w14:textId="7F41C5E8"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315</w:t>
            </w:r>
          </w:p>
        </w:tc>
        <w:tc>
          <w:tcPr>
            <w:tcW w:w="1540" w:type="dxa"/>
            <w:vAlign w:val="center"/>
          </w:tcPr>
          <w:p w14:paraId="467821E9" w14:textId="0821CDA8"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319</w:t>
            </w:r>
          </w:p>
        </w:tc>
        <w:tc>
          <w:tcPr>
            <w:tcW w:w="1540" w:type="dxa"/>
            <w:vAlign w:val="center"/>
          </w:tcPr>
          <w:p w14:paraId="09B9D438" w14:textId="5E901E38"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199</w:t>
            </w:r>
          </w:p>
        </w:tc>
        <w:tc>
          <w:tcPr>
            <w:tcW w:w="1540" w:type="dxa"/>
            <w:vAlign w:val="center"/>
          </w:tcPr>
          <w:p w14:paraId="390F2363" w14:textId="2340EEBC"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850</w:t>
            </w:r>
          </w:p>
        </w:tc>
      </w:tr>
      <w:tr w:rsidR="006374EE" w:rsidRPr="00916A56" w14:paraId="34F386F8" w14:textId="77777777" w:rsidTr="003E3F03">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27B135B7" w14:textId="77777777" w:rsidR="006374EE" w:rsidRPr="003E3F03" w:rsidRDefault="006374EE" w:rsidP="006374EE">
            <w:pPr>
              <w:jc w:val="center"/>
              <w:rPr>
                <w:rFonts w:ascii="Calibri" w:eastAsia="Times New Roman" w:hAnsi="Calibri" w:cs="Calibri"/>
                <w:i/>
                <w:iCs/>
                <w:lang w:eastAsia="en-GB"/>
              </w:rPr>
            </w:pPr>
            <w:r w:rsidRPr="003E3F03">
              <w:rPr>
                <w:rFonts w:ascii="Calibri" w:eastAsia="Times New Roman" w:hAnsi="Calibri" w:cs="Calibri"/>
                <w:i/>
                <w:iCs/>
                <w:lang w:eastAsia="en-GB"/>
              </w:rPr>
              <w:t>2021 - Q2</w:t>
            </w:r>
          </w:p>
        </w:tc>
        <w:tc>
          <w:tcPr>
            <w:tcW w:w="1540" w:type="dxa"/>
            <w:noWrap/>
            <w:vAlign w:val="center"/>
          </w:tcPr>
          <w:p w14:paraId="54667B2E" w14:textId="3E0A0DD9"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Pr>
                <w:rFonts w:ascii="Calibri" w:hAnsi="Calibri" w:cs="Calibri"/>
                <w:i/>
                <w:iCs/>
                <w:color w:val="000000"/>
              </w:rPr>
              <w:t>15</w:t>
            </w:r>
          </w:p>
        </w:tc>
        <w:tc>
          <w:tcPr>
            <w:tcW w:w="1540" w:type="dxa"/>
            <w:vAlign w:val="center"/>
          </w:tcPr>
          <w:p w14:paraId="7A907B69" w14:textId="0824B4EA"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Pr>
                <w:rFonts w:ascii="Calibri" w:hAnsi="Calibri" w:cs="Calibri"/>
                <w:i/>
                <w:iCs/>
                <w:color w:val="000000"/>
              </w:rPr>
              <w:t>278</w:t>
            </w:r>
          </w:p>
        </w:tc>
        <w:tc>
          <w:tcPr>
            <w:tcW w:w="1540" w:type="dxa"/>
            <w:vAlign w:val="center"/>
          </w:tcPr>
          <w:p w14:paraId="13DB53F9" w14:textId="5C6C4D09"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Pr>
                <w:rFonts w:ascii="Calibri" w:hAnsi="Calibri" w:cs="Calibri"/>
                <w:i/>
                <w:iCs/>
                <w:color w:val="000000"/>
              </w:rPr>
              <w:t>323</w:t>
            </w:r>
          </w:p>
        </w:tc>
        <w:tc>
          <w:tcPr>
            <w:tcW w:w="1540" w:type="dxa"/>
            <w:vAlign w:val="center"/>
          </w:tcPr>
          <w:p w14:paraId="60312F6D" w14:textId="07140FAA"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Pr>
                <w:rFonts w:ascii="Calibri" w:hAnsi="Calibri" w:cs="Calibri"/>
                <w:i/>
                <w:iCs/>
                <w:color w:val="000000"/>
              </w:rPr>
              <w:t>207</w:t>
            </w:r>
          </w:p>
        </w:tc>
        <w:tc>
          <w:tcPr>
            <w:tcW w:w="1540" w:type="dxa"/>
            <w:vAlign w:val="center"/>
          </w:tcPr>
          <w:p w14:paraId="59F55CBC" w14:textId="329FE205"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Pr>
                <w:rFonts w:ascii="Calibri" w:hAnsi="Calibri" w:cs="Calibri"/>
                <w:i/>
                <w:iCs/>
                <w:color w:val="000000"/>
              </w:rPr>
              <w:t>823</w:t>
            </w:r>
          </w:p>
        </w:tc>
      </w:tr>
      <w:tr w:rsidR="006374EE" w:rsidRPr="00916A56" w14:paraId="0847F746" w14:textId="77777777" w:rsidTr="003E3F03">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7D8D966E" w14:textId="77777777" w:rsidR="006374EE" w:rsidRPr="003E3F03" w:rsidRDefault="006374EE" w:rsidP="006374EE">
            <w:pPr>
              <w:jc w:val="center"/>
              <w:rPr>
                <w:rFonts w:ascii="Calibri" w:eastAsia="Times New Roman" w:hAnsi="Calibri" w:cs="Calibri"/>
                <w:lang w:eastAsia="en-GB"/>
              </w:rPr>
            </w:pPr>
            <w:r w:rsidRPr="003E3F03">
              <w:rPr>
                <w:rFonts w:ascii="Calibri" w:eastAsia="Times New Roman" w:hAnsi="Calibri" w:cs="Calibri"/>
                <w:lang w:eastAsia="en-GB"/>
              </w:rPr>
              <w:t>2021 - Q3</w:t>
            </w:r>
          </w:p>
        </w:tc>
        <w:tc>
          <w:tcPr>
            <w:tcW w:w="1540" w:type="dxa"/>
            <w:noWrap/>
            <w:vAlign w:val="center"/>
          </w:tcPr>
          <w:p w14:paraId="3BD0FEF6" w14:textId="5A20D1DC"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15</w:t>
            </w:r>
          </w:p>
        </w:tc>
        <w:tc>
          <w:tcPr>
            <w:tcW w:w="1540" w:type="dxa"/>
            <w:vAlign w:val="center"/>
          </w:tcPr>
          <w:p w14:paraId="5BD1E6BA" w14:textId="35648AD3"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353</w:t>
            </w:r>
          </w:p>
        </w:tc>
        <w:tc>
          <w:tcPr>
            <w:tcW w:w="1540" w:type="dxa"/>
            <w:vAlign w:val="center"/>
          </w:tcPr>
          <w:p w14:paraId="1E8D52BA" w14:textId="2BAB1655"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380</w:t>
            </w:r>
          </w:p>
        </w:tc>
        <w:tc>
          <w:tcPr>
            <w:tcW w:w="1540" w:type="dxa"/>
            <w:vAlign w:val="center"/>
          </w:tcPr>
          <w:p w14:paraId="2EAB654A" w14:textId="3FF4436A"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238</w:t>
            </w:r>
          </w:p>
        </w:tc>
        <w:tc>
          <w:tcPr>
            <w:tcW w:w="1540" w:type="dxa"/>
            <w:vAlign w:val="center"/>
          </w:tcPr>
          <w:p w14:paraId="005998CF" w14:textId="439AB905"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986</w:t>
            </w:r>
          </w:p>
        </w:tc>
      </w:tr>
      <w:tr w:rsidR="006374EE" w:rsidRPr="00916A56" w14:paraId="1528D4BE" w14:textId="77777777" w:rsidTr="003E3F03">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4BE5E324" w14:textId="77777777" w:rsidR="006374EE" w:rsidRPr="003E3F03" w:rsidRDefault="006374EE" w:rsidP="006374EE">
            <w:pPr>
              <w:jc w:val="center"/>
              <w:rPr>
                <w:rFonts w:ascii="Calibri" w:eastAsia="Times New Roman" w:hAnsi="Calibri" w:cs="Calibri"/>
                <w:lang w:eastAsia="en-GB"/>
              </w:rPr>
            </w:pPr>
            <w:r w:rsidRPr="003E3F03">
              <w:rPr>
                <w:rFonts w:ascii="Calibri" w:eastAsia="Times New Roman" w:hAnsi="Calibri" w:cs="Calibri"/>
                <w:lang w:eastAsia="en-GB"/>
              </w:rPr>
              <w:t>2021 - Q4</w:t>
            </w:r>
          </w:p>
        </w:tc>
        <w:tc>
          <w:tcPr>
            <w:tcW w:w="1540" w:type="dxa"/>
            <w:noWrap/>
            <w:vAlign w:val="center"/>
          </w:tcPr>
          <w:p w14:paraId="4D47B276" w14:textId="484A66CF"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12</w:t>
            </w:r>
          </w:p>
        </w:tc>
        <w:tc>
          <w:tcPr>
            <w:tcW w:w="1540" w:type="dxa"/>
            <w:vAlign w:val="center"/>
          </w:tcPr>
          <w:p w14:paraId="529633FB" w14:textId="46F8A87E"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245</w:t>
            </w:r>
          </w:p>
        </w:tc>
        <w:tc>
          <w:tcPr>
            <w:tcW w:w="1540" w:type="dxa"/>
            <w:vAlign w:val="center"/>
          </w:tcPr>
          <w:p w14:paraId="6754F93A" w14:textId="537A0FA2"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358</w:t>
            </w:r>
          </w:p>
        </w:tc>
        <w:tc>
          <w:tcPr>
            <w:tcW w:w="1540" w:type="dxa"/>
            <w:vAlign w:val="center"/>
          </w:tcPr>
          <w:p w14:paraId="41EA0621" w14:textId="554C67F4"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237</w:t>
            </w:r>
          </w:p>
        </w:tc>
        <w:tc>
          <w:tcPr>
            <w:tcW w:w="1540" w:type="dxa"/>
            <w:vAlign w:val="center"/>
          </w:tcPr>
          <w:p w14:paraId="49F9F495" w14:textId="0B132A27"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852</w:t>
            </w:r>
          </w:p>
        </w:tc>
      </w:tr>
      <w:tr w:rsidR="006374EE" w:rsidRPr="00916A56" w14:paraId="3C58ECE8" w14:textId="77777777" w:rsidTr="003E3F03">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5A7643FB" w14:textId="77777777" w:rsidR="006374EE" w:rsidRPr="003E3F03" w:rsidRDefault="006374EE" w:rsidP="006374EE">
            <w:pPr>
              <w:jc w:val="center"/>
              <w:rPr>
                <w:rFonts w:ascii="Calibri" w:eastAsia="Times New Roman" w:hAnsi="Calibri" w:cs="Calibri"/>
                <w:i/>
                <w:lang w:eastAsia="en-GB"/>
              </w:rPr>
            </w:pPr>
            <w:r w:rsidRPr="003E3F03">
              <w:rPr>
                <w:rFonts w:ascii="Calibri" w:eastAsia="Times New Roman" w:hAnsi="Calibri" w:cs="Calibri"/>
                <w:i/>
                <w:lang w:eastAsia="en-GB"/>
              </w:rPr>
              <w:t xml:space="preserve">2021 Total </w:t>
            </w:r>
          </w:p>
        </w:tc>
        <w:tc>
          <w:tcPr>
            <w:tcW w:w="1540" w:type="dxa"/>
            <w:noWrap/>
            <w:vAlign w:val="center"/>
          </w:tcPr>
          <w:p w14:paraId="061ACE8D" w14:textId="6146F0F4" w:rsidR="006374EE" w:rsidRPr="006F549C"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i/>
              </w:rPr>
            </w:pPr>
            <w:r>
              <w:rPr>
                <w:rFonts w:ascii="Calibri" w:hAnsi="Calibri" w:cs="Calibri"/>
                <w:b/>
                <w:bCs/>
                <w:i/>
                <w:iCs/>
                <w:color w:val="000000"/>
              </w:rPr>
              <w:t>59</w:t>
            </w:r>
          </w:p>
        </w:tc>
        <w:tc>
          <w:tcPr>
            <w:tcW w:w="1540" w:type="dxa"/>
            <w:vAlign w:val="center"/>
          </w:tcPr>
          <w:p w14:paraId="4D72ACF2" w14:textId="25828663" w:rsidR="006374EE" w:rsidRPr="006F549C"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i/>
              </w:rPr>
            </w:pPr>
            <w:r>
              <w:rPr>
                <w:rFonts w:ascii="Calibri" w:hAnsi="Calibri" w:cs="Calibri"/>
                <w:b/>
                <w:bCs/>
                <w:i/>
                <w:iCs/>
                <w:color w:val="000000"/>
              </w:rPr>
              <w:t>1,191</w:t>
            </w:r>
          </w:p>
        </w:tc>
        <w:tc>
          <w:tcPr>
            <w:tcW w:w="1540" w:type="dxa"/>
            <w:vAlign w:val="center"/>
          </w:tcPr>
          <w:p w14:paraId="4361A2D2" w14:textId="578F9CAF" w:rsidR="006374EE" w:rsidRPr="006F549C"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i/>
              </w:rPr>
            </w:pPr>
            <w:r>
              <w:rPr>
                <w:rFonts w:ascii="Calibri" w:hAnsi="Calibri" w:cs="Calibri"/>
                <w:b/>
                <w:bCs/>
                <w:i/>
                <w:iCs/>
                <w:color w:val="000000"/>
              </w:rPr>
              <w:t>1,380</w:t>
            </w:r>
          </w:p>
        </w:tc>
        <w:tc>
          <w:tcPr>
            <w:tcW w:w="1540" w:type="dxa"/>
            <w:vAlign w:val="center"/>
          </w:tcPr>
          <w:p w14:paraId="13B02324" w14:textId="703EC978" w:rsidR="006374EE" w:rsidRPr="006F549C"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i/>
              </w:rPr>
            </w:pPr>
            <w:r>
              <w:rPr>
                <w:rFonts w:ascii="Calibri" w:hAnsi="Calibri" w:cs="Calibri"/>
                <w:b/>
                <w:bCs/>
                <w:i/>
                <w:iCs/>
                <w:color w:val="000000"/>
              </w:rPr>
              <w:t>881</w:t>
            </w:r>
          </w:p>
        </w:tc>
        <w:tc>
          <w:tcPr>
            <w:tcW w:w="1540" w:type="dxa"/>
            <w:vAlign w:val="center"/>
          </w:tcPr>
          <w:p w14:paraId="6740CF2D" w14:textId="7F14FE3C" w:rsidR="006374EE" w:rsidRPr="006F549C"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i/>
              </w:rPr>
            </w:pPr>
            <w:r>
              <w:rPr>
                <w:rFonts w:ascii="Calibri" w:hAnsi="Calibri" w:cs="Calibri"/>
                <w:b/>
                <w:bCs/>
                <w:i/>
                <w:iCs/>
                <w:color w:val="000000"/>
              </w:rPr>
              <w:t>3,511</w:t>
            </w:r>
          </w:p>
        </w:tc>
      </w:tr>
      <w:tr w:rsidR="006374EE" w:rsidRPr="00916A56" w14:paraId="6D7A9FD0" w14:textId="77777777" w:rsidTr="000478DE">
        <w:trPr>
          <w:trHeight w:val="324"/>
        </w:trPr>
        <w:tc>
          <w:tcPr>
            <w:cnfStyle w:val="001000000000" w:firstRow="0" w:lastRow="0" w:firstColumn="1" w:lastColumn="0" w:oddVBand="0" w:evenVBand="0" w:oddHBand="0" w:evenHBand="0" w:firstRowFirstColumn="0" w:firstRowLastColumn="0" w:lastRowFirstColumn="0" w:lastRowLastColumn="0"/>
            <w:tcW w:w="1338" w:type="dxa"/>
            <w:noWrap/>
          </w:tcPr>
          <w:p w14:paraId="3A8547EA" w14:textId="77777777" w:rsidR="006374EE" w:rsidRPr="003E3F03" w:rsidRDefault="006374EE" w:rsidP="006374EE">
            <w:pPr>
              <w:jc w:val="center"/>
              <w:rPr>
                <w:rFonts w:ascii="Calibri" w:eastAsia="Times New Roman" w:hAnsi="Calibri" w:cs="Calibri"/>
                <w:i/>
                <w:lang w:eastAsia="en-GB"/>
              </w:rPr>
            </w:pPr>
          </w:p>
        </w:tc>
        <w:tc>
          <w:tcPr>
            <w:tcW w:w="1540" w:type="dxa"/>
            <w:noWrap/>
            <w:vAlign w:val="center"/>
          </w:tcPr>
          <w:p w14:paraId="2624A85D" w14:textId="636A4738" w:rsidR="006374EE" w:rsidRPr="003E3F03"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 </w:t>
            </w:r>
          </w:p>
        </w:tc>
        <w:tc>
          <w:tcPr>
            <w:tcW w:w="1540" w:type="dxa"/>
            <w:vAlign w:val="center"/>
          </w:tcPr>
          <w:p w14:paraId="675BAEC8" w14:textId="7F3B2042" w:rsidR="006374EE" w:rsidRPr="003E3F03"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 </w:t>
            </w:r>
          </w:p>
        </w:tc>
        <w:tc>
          <w:tcPr>
            <w:tcW w:w="1540" w:type="dxa"/>
            <w:vAlign w:val="center"/>
          </w:tcPr>
          <w:p w14:paraId="434D14EF" w14:textId="1A5179EB" w:rsidR="006374EE" w:rsidRPr="003E3F03"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 </w:t>
            </w:r>
          </w:p>
        </w:tc>
        <w:tc>
          <w:tcPr>
            <w:tcW w:w="1540" w:type="dxa"/>
            <w:vAlign w:val="center"/>
          </w:tcPr>
          <w:p w14:paraId="7F28EC56" w14:textId="42BEDC40" w:rsidR="006374EE" w:rsidRPr="003E3F03"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 </w:t>
            </w:r>
          </w:p>
        </w:tc>
        <w:tc>
          <w:tcPr>
            <w:tcW w:w="1540" w:type="dxa"/>
            <w:vAlign w:val="center"/>
          </w:tcPr>
          <w:p w14:paraId="5FFFA570" w14:textId="2F145FB6" w:rsidR="006374EE" w:rsidRPr="003E3F03"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 </w:t>
            </w:r>
          </w:p>
        </w:tc>
      </w:tr>
      <w:tr w:rsidR="006374EE" w:rsidRPr="00916A56" w14:paraId="31DC3DAF" w14:textId="77777777" w:rsidTr="000301D2">
        <w:trPr>
          <w:trHeight w:val="324"/>
        </w:trPr>
        <w:tc>
          <w:tcPr>
            <w:cnfStyle w:val="001000000000" w:firstRow="0" w:lastRow="0" w:firstColumn="1" w:lastColumn="0" w:oddVBand="0" w:evenVBand="0" w:oddHBand="0" w:evenHBand="0" w:firstRowFirstColumn="0" w:firstRowLastColumn="0" w:lastRowFirstColumn="0" w:lastRowLastColumn="0"/>
            <w:tcW w:w="1338" w:type="dxa"/>
            <w:noWrap/>
            <w:vAlign w:val="center"/>
          </w:tcPr>
          <w:p w14:paraId="1451DE82" w14:textId="77777777" w:rsidR="006374EE" w:rsidRPr="000301D2" w:rsidRDefault="006374EE" w:rsidP="006374EE">
            <w:pPr>
              <w:jc w:val="center"/>
              <w:rPr>
                <w:rFonts w:ascii="Calibri" w:hAnsi="Calibri" w:cs="Calibri"/>
                <w:color w:val="000000"/>
              </w:rPr>
            </w:pPr>
            <w:r w:rsidRPr="000301D2">
              <w:rPr>
                <w:rFonts w:ascii="Calibri" w:hAnsi="Calibri" w:cs="Calibri"/>
                <w:bCs w:val="0"/>
                <w:color w:val="000000"/>
              </w:rPr>
              <w:t>2022 – Q1</w:t>
            </w:r>
          </w:p>
        </w:tc>
        <w:tc>
          <w:tcPr>
            <w:tcW w:w="1540" w:type="dxa"/>
            <w:noWrap/>
            <w:vAlign w:val="center"/>
          </w:tcPr>
          <w:p w14:paraId="23D1E317" w14:textId="5055191B"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16</w:t>
            </w:r>
          </w:p>
        </w:tc>
        <w:tc>
          <w:tcPr>
            <w:tcW w:w="1540" w:type="dxa"/>
            <w:vAlign w:val="center"/>
          </w:tcPr>
          <w:p w14:paraId="4601B63B" w14:textId="7FC60163"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188</w:t>
            </w:r>
          </w:p>
        </w:tc>
        <w:tc>
          <w:tcPr>
            <w:tcW w:w="1540" w:type="dxa"/>
            <w:vAlign w:val="center"/>
          </w:tcPr>
          <w:p w14:paraId="4AB8DD35" w14:textId="5541D4B7"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223</w:t>
            </w:r>
          </w:p>
        </w:tc>
        <w:tc>
          <w:tcPr>
            <w:tcW w:w="1540" w:type="dxa"/>
            <w:vAlign w:val="center"/>
          </w:tcPr>
          <w:p w14:paraId="310B2A0C" w14:textId="27F62D1C"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194</w:t>
            </w:r>
          </w:p>
        </w:tc>
        <w:tc>
          <w:tcPr>
            <w:tcW w:w="1540" w:type="dxa"/>
            <w:vAlign w:val="center"/>
          </w:tcPr>
          <w:p w14:paraId="1458E880" w14:textId="2A74D6AB"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621</w:t>
            </w:r>
          </w:p>
        </w:tc>
      </w:tr>
      <w:tr w:rsidR="006374EE" w:rsidRPr="00916A56" w14:paraId="060E6BB2" w14:textId="77777777" w:rsidTr="000301D2">
        <w:trPr>
          <w:trHeight w:val="324"/>
        </w:trPr>
        <w:tc>
          <w:tcPr>
            <w:cnfStyle w:val="001000000000" w:firstRow="0" w:lastRow="0" w:firstColumn="1" w:lastColumn="0" w:oddVBand="0" w:evenVBand="0" w:oddHBand="0" w:evenHBand="0" w:firstRowFirstColumn="0" w:firstRowLastColumn="0" w:lastRowFirstColumn="0" w:lastRowLastColumn="0"/>
            <w:tcW w:w="1338" w:type="dxa"/>
            <w:noWrap/>
            <w:vAlign w:val="center"/>
          </w:tcPr>
          <w:p w14:paraId="69372B7A" w14:textId="77777777" w:rsidR="006374EE" w:rsidRPr="000301D2" w:rsidRDefault="006374EE" w:rsidP="006374EE">
            <w:pPr>
              <w:jc w:val="center"/>
              <w:rPr>
                <w:rFonts w:ascii="Calibri" w:hAnsi="Calibri" w:cs="Calibri"/>
                <w:color w:val="000000"/>
              </w:rPr>
            </w:pPr>
            <w:r w:rsidRPr="000301D2">
              <w:rPr>
                <w:rFonts w:ascii="Calibri" w:hAnsi="Calibri" w:cs="Calibri"/>
                <w:bCs w:val="0"/>
                <w:color w:val="000000"/>
              </w:rPr>
              <w:t>2022 – Q2</w:t>
            </w:r>
          </w:p>
        </w:tc>
        <w:tc>
          <w:tcPr>
            <w:tcW w:w="1540" w:type="dxa"/>
            <w:noWrap/>
            <w:vAlign w:val="center"/>
          </w:tcPr>
          <w:p w14:paraId="048BDD69" w14:textId="6E5D5B3D"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rPr>
            </w:pPr>
            <w:r>
              <w:rPr>
                <w:rFonts w:ascii="Calibri" w:hAnsi="Calibri" w:cs="Calibri"/>
                <w:i/>
                <w:iCs/>
                <w:color w:val="000000"/>
              </w:rPr>
              <w:t>14</w:t>
            </w:r>
          </w:p>
        </w:tc>
        <w:tc>
          <w:tcPr>
            <w:tcW w:w="1540" w:type="dxa"/>
            <w:vAlign w:val="center"/>
          </w:tcPr>
          <w:p w14:paraId="04B9C2D1" w14:textId="2FCED870"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rPr>
            </w:pPr>
            <w:r>
              <w:rPr>
                <w:rFonts w:ascii="Calibri" w:hAnsi="Calibri" w:cs="Calibri"/>
                <w:i/>
                <w:iCs/>
                <w:color w:val="000000"/>
              </w:rPr>
              <w:t>233</w:t>
            </w:r>
          </w:p>
        </w:tc>
        <w:tc>
          <w:tcPr>
            <w:tcW w:w="1540" w:type="dxa"/>
            <w:vAlign w:val="center"/>
          </w:tcPr>
          <w:p w14:paraId="65736BD8" w14:textId="40E7A931"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rPr>
            </w:pPr>
            <w:r>
              <w:rPr>
                <w:rFonts w:ascii="Calibri" w:hAnsi="Calibri" w:cs="Calibri"/>
                <w:i/>
                <w:iCs/>
                <w:color w:val="000000"/>
              </w:rPr>
              <w:t>290</w:t>
            </w:r>
          </w:p>
        </w:tc>
        <w:tc>
          <w:tcPr>
            <w:tcW w:w="1540" w:type="dxa"/>
            <w:vAlign w:val="center"/>
          </w:tcPr>
          <w:p w14:paraId="17FD25D9" w14:textId="03A0D7D1"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rPr>
            </w:pPr>
            <w:r>
              <w:rPr>
                <w:rFonts w:ascii="Calibri" w:hAnsi="Calibri" w:cs="Calibri"/>
                <w:i/>
                <w:iCs/>
                <w:color w:val="000000"/>
              </w:rPr>
              <w:t>215</w:t>
            </w:r>
          </w:p>
        </w:tc>
        <w:tc>
          <w:tcPr>
            <w:tcW w:w="1540" w:type="dxa"/>
            <w:vAlign w:val="center"/>
          </w:tcPr>
          <w:p w14:paraId="65A1AA48" w14:textId="04407C91"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rPr>
            </w:pPr>
            <w:r>
              <w:rPr>
                <w:rFonts w:ascii="Calibri" w:hAnsi="Calibri" w:cs="Calibri"/>
                <w:i/>
                <w:iCs/>
                <w:color w:val="000000"/>
              </w:rPr>
              <w:t>752</w:t>
            </w:r>
          </w:p>
        </w:tc>
      </w:tr>
      <w:tr w:rsidR="006374EE" w:rsidRPr="00916A56" w14:paraId="706349B7" w14:textId="77777777" w:rsidTr="000301D2">
        <w:trPr>
          <w:trHeight w:val="324"/>
        </w:trPr>
        <w:tc>
          <w:tcPr>
            <w:cnfStyle w:val="001000000000" w:firstRow="0" w:lastRow="0" w:firstColumn="1" w:lastColumn="0" w:oddVBand="0" w:evenVBand="0" w:oddHBand="0" w:evenHBand="0" w:firstRowFirstColumn="0" w:firstRowLastColumn="0" w:lastRowFirstColumn="0" w:lastRowLastColumn="0"/>
            <w:tcW w:w="1338" w:type="dxa"/>
            <w:noWrap/>
            <w:vAlign w:val="center"/>
          </w:tcPr>
          <w:p w14:paraId="72462F7A" w14:textId="77777777" w:rsidR="006374EE" w:rsidRPr="000301D2" w:rsidRDefault="006374EE" w:rsidP="006374EE">
            <w:pPr>
              <w:jc w:val="center"/>
              <w:rPr>
                <w:rFonts w:ascii="Calibri" w:hAnsi="Calibri" w:cs="Calibri"/>
                <w:color w:val="000000"/>
              </w:rPr>
            </w:pPr>
            <w:r w:rsidRPr="000301D2">
              <w:rPr>
                <w:rFonts w:ascii="Calibri" w:hAnsi="Calibri" w:cs="Calibri"/>
                <w:bCs w:val="0"/>
                <w:color w:val="000000"/>
              </w:rPr>
              <w:t>2022 – Q3</w:t>
            </w:r>
          </w:p>
        </w:tc>
        <w:tc>
          <w:tcPr>
            <w:tcW w:w="1540" w:type="dxa"/>
            <w:noWrap/>
            <w:vAlign w:val="center"/>
          </w:tcPr>
          <w:p w14:paraId="099854C8" w14:textId="0A664CB6"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16</w:t>
            </w:r>
          </w:p>
        </w:tc>
        <w:tc>
          <w:tcPr>
            <w:tcW w:w="1540" w:type="dxa"/>
            <w:vAlign w:val="center"/>
          </w:tcPr>
          <w:p w14:paraId="33F94111" w14:textId="4E76BE16"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255</w:t>
            </w:r>
          </w:p>
        </w:tc>
        <w:tc>
          <w:tcPr>
            <w:tcW w:w="1540" w:type="dxa"/>
            <w:vAlign w:val="center"/>
          </w:tcPr>
          <w:p w14:paraId="7C41FCCB" w14:textId="5C6B432A"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280</w:t>
            </w:r>
          </w:p>
        </w:tc>
        <w:tc>
          <w:tcPr>
            <w:tcW w:w="1540" w:type="dxa"/>
            <w:vAlign w:val="center"/>
          </w:tcPr>
          <w:p w14:paraId="0A8BECDD" w14:textId="0599439D"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208</w:t>
            </w:r>
          </w:p>
        </w:tc>
        <w:tc>
          <w:tcPr>
            <w:tcW w:w="1540" w:type="dxa"/>
            <w:vAlign w:val="center"/>
          </w:tcPr>
          <w:p w14:paraId="350A8A2A" w14:textId="5EDD9557"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759</w:t>
            </w:r>
          </w:p>
        </w:tc>
      </w:tr>
      <w:tr w:rsidR="006374EE" w:rsidRPr="00916A56" w14:paraId="4E16606A" w14:textId="77777777" w:rsidTr="000301D2">
        <w:trPr>
          <w:trHeight w:val="324"/>
        </w:trPr>
        <w:tc>
          <w:tcPr>
            <w:cnfStyle w:val="001000000000" w:firstRow="0" w:lastRow="0" w:firstColumn="1" w:lastColumn="0" w:oddVBand="0" w:evenVBand="0" w:oddHBand="0" w:evenHBand="0" w:firstRowFirstColumn="0" w:firstRowLastColumn="0" w:lastRowFirstColumn="0" w:lastRowLastColumn="0"/>
            <w:tcW w:w="1338" w:type="dxa"/>
            <w:noWrap/>
            <w:vAlign w:val="center"/>
          </w:tcPr>
          <w:p w14:paraId="2C0FF73B" w14:textId="77777777" w:rsidR="006374EE" w:rsidRPr="000301D2" w:rsidRDefault="006374EE" w:rsidP="006374EE">
            <w:pPr>
              <w:jc w:val="center"/>
              <w:rPr>
                <w:rFonts w:ascii="Calibri" w:hAnsi="Calibri" w:cs="Calibri"/>
                <w:color w:val="000000"/>
              </w:rPr>
            </w:pPr>
            <w:r w:rsidRPr="000301D2">
              <w:rPr>
                <w:rFonts w:ascii="Calibri" w:hAnsi="Calibri" w:cs="Calibri"/>
                <w:bCs w:val="0"/>
                <w:color w:val="000000"/>
              </w:rPr>
              <w:t>2022 – Q4</w:t>
            </w:r>
          </w:p>
        </w:tc>
        <w:tc>
          <w:tcPr>
            <w:tcW w:w="1540" w:type="dxa"/>
            <w:noWrap/>
            <w:vAlign w:val="center"/>
          </w:tcPr>
          <w:p w14:paraId="7B8C4EBF" w14:textId="0C0F5A1C"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17</w:t>
            </w:r>
          </w:p>
        </w:tc>
        <w:tc>
          <w:tcPr>
            <w:tcW w:w="1540" w:type="dxa"/>
            <w:vAlign w:val="center"/>
          </w:tcPr>
          <w:p w14:paraId="50B5FE0E" w14:textId="69362567"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253</w:t>
            </w:r>
          </w:p>
        </w:tc>
        <w:tc>
          <w:tcPr>
            <w:tcW w:w="1540" w:type="dxa"/>
            <w:vAlign w:val="center"/>
          </w:tcPr>
          <w:p w14:paraId="70E044E9" w14:textId="57B3BFE3"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320</w:t>
            </w:r>
          </w:p>
        </w:tc>
        <w:tc>
          <w:tcPr>
            <w:tcW w:w="1540" w:type="dxa"/>
            <w:vAlign w:val="center"/>
          </w:tcPr>
          <w:p w14:paraId="66C09913" w14:textId="04563B0F"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215</w:t>
            </w:r>
          </w:p>
        </w:tc>
        <w:tc>
          <w:tcPr>
            <w:tcW w:w="1540" w:type="dxa"/>
            <w:vAlign w:val="center"/>
          </w:tcPr>
          <w:p w14:paraId="05BD669E" w14:textId="3E858A7E"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805</w:t>
            </w:r>
          </w:p>
        </w:tc>
      </w:tr>
      <w:tr w:rsidR="006374EE" w:rsidRPr="00916A56" w14:paraId="672D079F" w14:textId="77777777" w:rsidTr="000301D2">
        <w:trPr>
          <w:trHeight w:val="324"/>
        </w:trPr>
        <w:tc>
          <w:tcPr>
            <w:cnfStyle w:val="001000000000" w:firstRow="0" w:lastRow="0" w:firstColumn="1" w:lastColumn="0" w:oddVBand="0" w:evenVBand="0" w:oddHBand="0" w:evenHBand="0" w:firstRowFirstColumn="0" w:firstRowLastColumn="0" w:lastRowFirstColumn="0" w:lastRowLastColumn="0"/>
            <w:tcW w:w="1338" w:type="dxa"/>
            <w:noWrap/>
            <w:vAlign w:val="center"/>
          </w:tcPr>
          <w:p w14:paraId="4B7D9202" w14:textId="77777777" w:rsidR="006374EE" w:rsidRPr="000301D2" w:rsidRDefault="006374EE" w:rsidP="006374EE">
            <w:pPr>
              <w:jc w:val="center"/>
              <w:rPr>
                <w:rFonts w:ascii="Calibri" w:hAnsi="Calibri" w:cs="Calibri"/>
                <w:i/>
                <w:iCs/>
                <w:color w:val="000000"/>
              </w:rPr>
            </w:pPr>
            <w:r w:rsidRPr="000301D2">
              <w:rPr>
                <w:rFonts w:ascii="Calibri" w:hAnsi="Calibri" w:cs="Calibri"/>
                <w:bCs w:val="0"/>
                <w:i/>
                <w:iCs/>
                <w:color w:val="000000"/>
              </w:rPr>
              <w:t>2022 Total</w:t>
            </w:r>
          </w:p>
        </w:tc>
        <w:tc>
          <w:tcPr>
            <w:tcW w:w="1540" w:type="dxa"/>
            <w:noWrap/>
            <w:vAlign w:val="center"/>
          </w:tcPr>
          <w:p w14:paraId="2B5725DA" w14:textId="4FD519F2"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rPr>
            </w:pPr>
            <w:r>
              <w:rPr>
                <w:rFonts w:ascii="Calibri" w:hAnsi="Calibri" w:cs="Calibri"/>
                <w:b/>
                <w:bCs/>
                <w:i/>
                <w:iCs/>
                <w:color w:val="000000"/>
              </w:rPr>
              <w:t>63</w:t>
            </w:r>
          </w:p>
        </w:tc>
        <w:tc>
          <w:tcPr>
            <w:tcW w:w="1540" w:type="dxa"/>
            <w:vAlign w:val="center"/>
          </w:tcPr>
          <w:p w14:paraId="4953EED7" w14:textId="723403D4"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rPr>
            </w:pPr>
            <w:r>
              <w:rPr>
                <w:rFonts w:ascii="Calibri" w:hAnsi="Calibri" w:cs="Calibri"/>
                <w:b/>
                <w:bCs/>
                <w:i/>
                <w:iCs/>
                <w:color w:val="000000"/>
              </w:rPr>
              <w:t>929</w:t>
            </w:r>
          </w:p>
        </w:tc>
        <w:tc>
          <w:tcPr>
            <w:tcW w:w="1540" w:type="dxa"/>
            <w:vAlign w:val="center"/>
          </w:tcPr>
          <w:p w14:paraId="33FE955C" w14:textId="6E5C19D0"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rPr>
            </w:pPr>
            <w:r>
              <w:rPr>
                <w:rFonts w:ascii="Calibri" w:hAnsi="Calibri" w:cs="Calibri"/>
                <w:b/>
                <w:bCs/>
                <w:i/>
                <w:iCs/>
                <w:color w:val="000000"/>
              </w:rPr>
              <w:t>1,113</w:t>
            </w:r>
          </w:p>
        </w:tc>
        <w:tc>
          <w:tcPr>
            <w:tcW w:w="1540" w:type="dxa"/>
            <w:vAlign w:val="center"/>
          </w:tcPr>
          <w:p w14:paraId="48B4A970" w14:textId="504EBFB6"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rPr>
            </w:pPr>
            <w:r>
              <w:rPr>
                <w:rFonts w:ascii="Calibri" w:hAnsi="Calibri" w:cs="Calibri"/>
                <w:b/>
                <w:bCs/>
                <w:i/>
                <w:iCs/>
                <w:color w:val="000000"/>
              </w:rPr>
              <w:t>832</w:t>
            </w:r>
          </w:p>
        </w:tc>
        <w:tc>
          <w:tcPr>
            <w:tcW w:w="1540" w:type="dxa"/>
            <w:vAlign w:val="center"/>
          </w:tcPr>
          <w:p w14:paraId="55D4FE4F" w14:textId="1FF65A03"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rPr>
            </w:pPr>
            <w:r>
              <w:rPr>
                <w:rFonts w:ascii="Calibri" w:hAnsi="Calibri" w:cs="Calibri"/>
                <w:b/>
                <w:bCs/>
                <w:i/>
                <w:iCs/>
                <w:color w:val="000000"/>
              </w:rPr>
              <w:t>2,937</w:t>
            </w:r>
          </w:p>
        </w:tc>
      </w:tr>
      <w:tr w:rsidR="006374EE" w:rsidRPr="00916A56" w14:paraId="69AAFF44" w14:textId="77777777" w:rsidTr="000301D2">
        <w:trPr>
          <w:trHeight w:val="324"/>
        </w:trPr>
        <w:tc>
          <w:tcPr>
            <w:cnfStyle w:val="001000000000" w:firstRow="0" w:lastRow="0" w:firstColumn="1" w:lastColumn="0" w:oddVBand="0" w:evenVBand="0" w:oddHBand="0" w:evenHBand="0" w:firstRowFirstColumn="0" w:firstRowLastColumn="0" w:lastRowFirstColumn="0" w:lastRowLastColumn="0"/>
            <w:tcW w:w="1338" w:type="dxa"/>
            <w:noWrap/>
            <w:vAlign w:val="center"/>
          </w:tcPr>
          <w:p w14:paraId="458A4051" w14:textId="77777777" w:rsidR="006374EE" w:rsidRDefault="006374EE" w:rsidP="006374EE">
            <w:pPr>
              <w:jc w:val="center"/>
              <w:rPr>
                <w:rFonts w:ascii="Calibri" w:hAnsi="Calibri" w:cs="Calibri"/>
                <w:b w:val="0"/>
                <w:bCs w:val="0"/>
                <w:i/>
                <w:iCs/>
                <w:color w:val="000000"/>
              </w:rPr>
            </w:pPr>
            <w:r>
              <w:rPr>
                <w:rFonts w:ascii="Calibri" w:hAnsi="Calibri" w:cs="Calibri"/>
                <w:b w:val="0"/>
                <w:bCs w:val="0"/>
                <w:i/>
                <w:iCs/>
                <w:color w:val="000000"/>
              </w:rPr>
              <w:t> </w:t>
            </w:r>
          </w:p>
        </w:tc>
        <w:tc>
          <w:tcPr>
            <w:tcW w:w="1540" w:type="dxa"/>
            <w:noWrap/>
            <w:vAlign w:val="center"/>
          </w:tcPr>
          <w:p w14:paraId="63D2504B" w14:textId="05FB0FD8"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rPr>
            </w:pPr>
            <w:r>
              <w:rPr>
                <w:rFonts w:ascii="Calibri" w:hAnsi="Calibri" w:cs="Calibri"/>
                <w:color w:val="000000"/>
              </w:rPr>
              <w:t> </w:t>
            </w:r>
          </w:p>
        </w:tc>
        <w:tc>
          <w:tcPr>
            <w:tcW w:w="1540" w:type="dxa"/>
            <w:vAlign w:val="center"/>
          </w:tcPr>
          <w:p w14:paraId="165F4A87" w14:textId="6A6FF0C1"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rPr>
            </w:pPr>
            <w:r>
              <w:rPr>
                <w:rFonts w:ascii="Calibri" w:hAnsi="Calibri" w:cs="Calibri"/>
                <w:color w:val="000000"/>
              </w:rPr>
              <w:t> </w:t>
            </w:r>
          </w:p>
        </w:tc>
        <w:tc>
          <w:tcPr>
            <w:tcW w:w="1540" w:type="dxa"/>
            <w:vAlign w:val="center"/>
          </w:tcPr>
          <w:p w14:paraId="60BAEB7E" w14:textId="74C60B41"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rPr>
            </w:pPr>
            <w:r>
              <w:rPr>
                <w:rFonts w:ascii="Calibri" w:hAnsi="Calibri" w:cs="Calibri"/>
                <w:color w:val="000000"/>
              </w:rPr>
              <w:t> </w:t>
            </w:r>
          </w:p>
        </w:tc>
        <w:tc>
          <w:tcPr>
            <w:tcW w:w="1540" w:type="dxa"/>
            <w:vAlign w:val="center"/>
          </w:tcPr>
          <w:p w14:paraId="7DE9216D" w14:textId="6D25EF27"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rPr>
            </w:pPr>
            <w:r>
              <w:rPr>
                <w:rFonts w:ascii="Calibri" w:hAnsi="Calibri" w:cs="Calibri"/>
                <w:color w:val="000000"/>
              </w:rPr>
              <w:t> </w:t>
            </w:r>
          </w:p>
        </w:tc>
        <w:tc>
          <w:tcPr>
            <w:tcW w:w="1540" w:type="dxa"/>
            <w:vAlign w:val="center"/>
          </w:tcPr>
          <w:p w14:paraId="73B45EEF" w14:textId="40C3BE54"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rPr>
            </w:pPr>
            <w:r>
              <w:rPr>
                <w:rFonts w:ascii="Calibri" w:hAnsi="Calibri" w:cs="Calibri"/>
                <w:color w:val="000000"/>
              </w:rPr>
              <w:t> </w:t>
            </w:r>
          </w:p>
        </w:tc>
      </w:tr>
      <w:tr w:rsidR="006374EE" w:rsidRPr="00916A56" w14:paraId="2582A7AE" w14:textId="77777777" w:rsidTr="00C80CB5">
        <w:trPr>
          <w:trHeight w:val="324"/>
        </w:trPr>
        <w:tc>
          <w:tcPr>
            <w:cnfStyle w:val="001000000000" w:firstRow="0" w:lastRow="0" w:firstColumn="1" w:lastColumn="0" w:oddVBand="0" w:evenVBand="0" w:oddHBand="0" w:evenHBand="0" w:firstRowFirstColumn="0" w:firstRowLastColumn="0" w:lastRowFirstColumn="0" w:lastRowLastColumn="0"/>
            <w:tcW w:w="1338" w:type="dxa"/>
            <w:noWrap/>
            <w:vAlign w:val="center"/>
          </w:tcPr>
          <w:p w14:paraId="600FCB10" w14:textId="77777777" w:rsidR="006374EE" w:rsidRPr="000301D2" w:rsidRDefault="006374EE" w:rsidP="006374EE">
            <w:pPr>
              <w:jc w:val="center"/>
              <w:rPr>
                <w:rFonts w:ascii="Calibri" w:hAnsi="Calibri" w:cs="Calibri"/>
                <w:bCs w:val="0"/>
                <w:color w:val="000000"/>
              </w:rPr>
            </w:pPr>
            <w:r w:rsidRPr="000301D2">
              <w:rPr>
                <w:rFonts w:ascii="Calibri" w:hAnsi="Calibri" w:cs="Calibri"/>
                <w:bCs w:val="0"/>
                <w:color w:val="000000"/>
              </w:rPr>
              <w:t xml:space="preserve">2023 – Q1 </w:t>
            </w:r>
          </w:p>
        </w:tc>
        <w:tc>
          <w:tcPr>
            <w:tcW w:w="1540" w:type="dxa"/>
            <w:noWrap/>
            <w:vAlign w:val="center"/>
          </w:tcPr>
          <w:p w14:paraId="58EE0C36" w14:textId="5AF0DB94" w:rsidR="006374EE" w:rsidRPr="00F64045" w:rsidRDefault="006374EE" w:rsidP="006374EE">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10</w:t>
            </w:r>
          </w:p>
        </w:tc>
        <w:tc>
          <w:tcPr>
            <w:tcW w:w="1540" w:type="dxa"/>
            <w:vAlign w:val="center"/>
          </w:tcPr>
          <w:p w14:paraId="3F5766EF" w14:textId="4C10B7AC" w:rsidR="006374EE" w:rsidRPr="00F64045" w:rsidRDefault="006374EE" w:rsidP="006374EE">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157</w:t>
            </w:r>
          </w:p>
        </w:tc>
        <w:tc>
          <w:tcPr>
            <w:tcW w:w="1540" w:type="dxa"/>
            <w:vAlign w:val="center"/>
          </w:tcPr>
          <w:p w14:paraId="1714A735" w14:textId="4E442381" w:rsidR="006374EE" w:rsidRPr="00F64045" w:rsidRDefault="006374EE" w:rsidP="006374EE">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200</w:t>
            </w:r>
          </w:p>
        </w:tc>
        <w:tc>
          <w:tcPr>
            <w:tcW w:w="1540" w:type="dxa"/>
            <w:vAlign w:val="center"/>
          </w:tcPr>
          <w:p w14:paraId="0E5F6191" w14:textId="1A92E11C" w:rsidR="006374EE" w:rsidRPr="00F64045" w:rsidRDefault="006374EE" w:rsidP="006374EE">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172</w:t>
            </w:r>
          </w:p>
        </w:tc>
        <w:tc>
          <w:tcPr>
            <w:tcW w:w="1540" w:type="dxa"/>
            <w:vAlign w:val="center"/>
          </w:tcPr>
          <w:p w14:paraId="7C2EABD3" w14:textId="1FBC2036" w:rsidR="006374EE" w:rsidRPr="00F64045" w:rsidRDefault="006374EE" w:rsidP="006374EE">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539</w:t>
            </w:r>
          </w:p>
        </w:tc>
      </w:tr>
      <w:tr w:rsidR="006374EE" w:rsidRPr="00916A56" w14:paraId="77B52449" w14:textId="77777777" w:rsidTr="00C80CB5">
        <w:trPr>
          <w:trHeight w:val="324"/>
        </w:trPr>
        <w:tc>
          <w:tcPr>
            <w:cnfStyle w:val="001000000000" w:firstRow="0" w:lastRow="0" w:firstColumn="1" w:lastColumn="0" w:oddVBand="0" w:evenVBand="0" w:oddHBand="0" w:evenHBand="0" w:firstRowFirstColumn="0" w:firstRowLastColumn="0" w:lastRowFirstColumn="0" w:lastRowLastColumn="0"/>
            <w:tcW w:w="1338" w:type="dxa"/>
            <w:noWrap/>
            <w:vAlign w:val="center"/>
          </w:tcPr>
          <w:p w14:paraId="20677297" w14:textId="77777777" w:rsidR="006374EE" w:rsidRPr="000301D2" w:rsidRDefault="006374EE" w:rsidP="006374EE">
            <w:pPr>
              <w:jc w:val="center"/>
              <w:rPr>
                <w:rFonts w:ascii="Calibri" w:hAnsi="Calibri" w:cs="Calibri"/>
                <w:color w:val="000000"/>
              </w:rPr>
            </w:pPr>
            <w:r w:rsidRPr="000301D2">
              <w:rPr>
                <w:rFonts w:ascii="Calibri" w:hAnsi="Calibri" w:cs="Calibri"/>
                <w:bCs w:val="0"/>
                <w:color w:val="000000"/>
              </w:rPr>
              <w:t xml:space="preserve">2023 – Q2 </w:t>
            </w:r>
          </w:p>
        </w:tc>
        <w:tc>
          <w:tcPr>
            <w:tcW w:w="1540" w:type="dxa"/>
            <w:noWrap/>
            <w:vAlign w:val="center"/>
          </w:tcPr>
          <w:p w14:paraId="3BA3BD0F" w14:textId="374E9B4C" w:rsidR="006374EE" w:rsidRPr="00F64045" w:rsidRDefault="006374EE" w:rsidP="006374EE">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i/>
                <w:iCs/>
                <w:color w:val="000000"/>
              </w:rPr>
              <w:t>21</w:t>
            </w:r>
          </w:p>
        </w:tc>
        <w:tc>
          <w:tcPr>
            <w:tcW w:w="1540" w:type="dxa"/>
            <w:vAlign w:val="center"/>
          </w:tcPr>
          <w:p w14:paraId="1398B6C1" w14:textId="21FC392C" w:rsidR="006374EE" w:rsidRPr="00F64045" w:rsidRDefault="006374EE" w:rsidP="006374EE">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i/>
                <w:iCs/>
                <w:color w:val="000000"/>
              </w:rPr>
              <w:t>193</w:t>
            </w:r>
          </w:p>
        </w:tc>
        <w:tc>
          <w:tcPr>
            <w:tcW w:w="1540" w:type="dxa"/>
            <w:vAlign w:val="center"/>
          </w:tcPr>
          <w:p w14:paraId="64A7B678" w14:textId="3DFB3707" w:rsidR="006374EE" w:rsidRPr="00F64045" w:rsidRDefault="006374EE" w:rsidP="006374EE">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i/>
                <w:iCs/>
                <w:color w:val="000000"/>
              </w:rPr>
              <w:t>222</w:t>
            </w:r>
          </w:p>
        </w:tc>
        <w:tc>
          <w:tcPr>
            <w:tcW w:w="1540" w:type="dxa"/>
            <w:vAlign w:val="center"/>
          </w:tcPr>
          <w:p w14:paraId="111007D1" w14:textId="274DFEFF" w:rsidR="006374EE" w:rsidRPr="00F64045" w:rsidRDefault="006374EE" w:rsidP="006374EE">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i/>
                <w:iCs/>
                <w:color w:val="000000"/>
              </w:rPr>
              <w:t>185</w:t>
            </w:r>
          </w:p>
        </w:tc>
        <w:tc>
          <w:tcPr>
            <w:tcW w:w="1540" w:type="dxa"/>
            <w:vAlign w:val="center"/>
          </w:tcPr>
          <w:p w14:paraId="2F0897D2" w14:textId="7F02EF36" w:rsidR="006374EE" w:rsidRPr="00F64045" w:rsidRDefault="006374EE" w:rsidP="006374EE">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i/>
                <w:iCs/>
                <w:color w:val="000000"/>
              </w:rPr>
              <w:t>621</w:t>
            </w:r>
          </w:p>
        </w:tc>
      </w:tr>
      <w:tr w:rsidR="006374EE" w:rsidRPr="00916A56" w14:paraId="1839637D" w14:textId="77777777" w:rsidTr="00C80CB5">
        <w:trPr>
          <w:trHeight w:val="324"/>
        </w:trPr>
        <w:tc>
          <w:tcPr>
            <w:cnfStyle w:val="001000000000" w:firstRow="0" w:lastRow="0" w:firstColumn="1" w:lastColumn="0" w:oddVBand="0" w:evenVBand="0" w:oddHBand="0" w:evenHBand="0" w:firstRowFirstColumn="0" w:firstRowLastColumn="0" w:lastRowFirstColumn="0" w:lastRowLastColumn="0"/>
            <w:tcW w:w="1338" w:type="dxa"/>
            <w:noWrap/>
            <w:vAlign w:val="center"/>
          </w:tcPr>
          <w:p w14:paraId="3F5C0EEC" w14:textId="745681D7" w:rsidR="006374EE" w:rsidRPr="000301D2" w:rsidRDefault="006374EE" w:rsidP="006374EE">
            <w:pPr>
              <w:jc w:val="center"/>
              <w:rPr>
                <w:rFonts w:ascii="Calibri" w:hAnsi="Calibri" w:cs="Calibri"/>
                <w:color w:val="000000"/>
              </w:rPr>
            </w:pPr>
            <w:r w:rsidRPr="000301D2">
              <w:rPr>
                <w:rFonts w:ascii="Calibri" w:hAnsi="Calibri" w:cs="Calibri"/>
                <w:bCs w:val="0"/>
                <w:color w:val="000000"/>
              </w:rPr>
              <w:t>2023 – Q</w:t>
            </w:r>
            <w:r>
              <w:rPr>
                <w:rFonts w:ascii="Calibri" w:hAnsi="Calibri" w:cs="Calibri"/>
                <w:bCs w:val="0"/>
                <w:color w:val="000000"/>
              </w:rPr>
              <w:t>3</w:t>
            </w:r>
            <w:r w:rsidRPr="000301D2">
              <w:rPr>
                <w:rFonts w:ascii="Calibri" w:hAnsi="Calibri" w:cs="Calibri"/>
                <w:bCs w:val="0"/>
                <w:color w:val="000000"/>
              </w:rPr>
              <w:t xml:space="preserve"> </w:t>
            </w:r>
          </w:p>
        </w:tc>
        <w:tc>
          <w:tcPr>
            <w:tcW w:w="1540" w:type="dxa"/>
            <w:noWrap/>
            <w:vAlign w:val="center"/>
          </w:tcPr>
          <w:p w14:paraId="49B53AD7" w14:textId="47315559" w:rsidR="006374EE" w:rsidRPr="00F64045" w:rsidRDefault="006374EE" w:rsidP="006374EE">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13</w:t>
            </w:r>
          </w:p>
        </w:tc>
        <w:tc>
          <w:tcPr>
            <w:tcW w:w="1540" w:type="dxa"/>
            <w:vAlign w:val="center"/>
          </w:tcPr>
          <w:p w14:paraId="489F3268" w14:textId="12A6BCFF" w:rsidR="006374EE" w:rsidRPr="00F64045" w:rsidRDefault="006374EE" w:rsidP="006374EE">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223</w:t>
            </w:r>
          </w:p>
        </w:tc>
        <w:tc>
          <w:tcPr>
            <w:tcW w:w="1540" w:type="dxa"/>
            <w:vAlign w:val="center"/>
          </w:tcPr>
          <w:p w14:paraId="1E5D93A1" w14:textId="0E749787" w:rsidR="006374EE" w:rsidRPr="00F64045" w:rsidRDefault="006374EE" w:rsidP="006374EE">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263</w:t>
            </w:r>
          </w:p>
        </w:tc>
        <w:tc>
          <w:tcPr>
            <w:tcW w:w="1540" w:type="dxa"/>
            <w:vAlign w:val="center"/>
          </w:tcPr>
          <w:p w14:paraId="06F544C9" w14:textId="70315C52" w:rsidR="006374EE" w:rsidRPr="00F64045" w:rsidRDefault="006374EE" w:rsidP="006374EE">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196</w:t>
            </w:r>
          </w:p>
        </w:tc>
        <w:tc>
          <w:tcPr>
            <w:tcW w:w="1540" w:type="dxa"/>
            <w:vAlign w:val="center"/>
          </w:tcPr>
          <w:p w14:paraId="0A5C7677" w14:textId="5EB210C8" w:rsidR="006374EE" w:rsidRPr="00F64045" w:rsidRDefault="006374EE" w:rsidP="006374EE">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695</w:t>
            </w:r>
          </w:p>
        </w:tc>
      </w:tr>
      <w:tr w:rsidR="006374EE" w:rsidRPr="00916A56" w14:paraId="025BE9AB" w14:textId="77777777" w:rsidTr="00C80CB5">
        <w:trPr>
          <w:trHeight w:val="324"/>
        </w:trPr>
        <w:tc>
          <w:tcPr>
            <w:cnfStyle w:val="001000000000" w:firstRow="0" w:lastRow="0" w:firstColumn="1" w:lastColumn="0" w:oddVBand="0" w:evenVBand="0" w:oddHBand="0" w:evenHBand="0" w:firstRowFirstColumn="0" w:firstRowLastColumn="0" w:lastRowFirstColumn="0" w:lastRowLastColumn="0"/>
            <w:tcW w:w="1338" w:type="dxa"/>
            <w:noWrap/>
            <w:vAlign w:val="center"/>
          </w:tcPr>
          <w:p w14:paraId="70099260" w14:textId="412B720F" w:rsidR="006374EE" w:rsidRPr="000301D2" w:rsidRDefault="006374EE" w:rsidP="006374EE">
            <w:pPr>
              <w:jc w:val="center"/>
              <w:rPr>
                <w:rFonts w:ascii="Calibri" w:hAnsi="Calibri" w:cs="Calibri"/>
                <w:color w:val="000000"/>
              </w:rPr>
            </w:pPr>
            <w:r w:rsidRPr="000301D2">
              <w:rPr>
                <w:rFonts w:ascii="Calibri" w:hAnsi="Calibri" w:cs="Calibri"/>
                <w:bCs w:val="0"/>
                <w:color w:val="000000"/>
              </w:rPr>
              <w:t>2023 – Q</w:t>
            </w:r>
            <w:r>
              <w:rPr>
                <w:rFonts w:ascii="Calibri" w:hAnsi="Calibri" w:cs="Calibri"/>
                <w:bCs w:val="0"/>
                <w:color w:val="000000"/>
              </w:rPr>
              <w:t>4</w:t>
            </w:r>
          </w:p>
        </w:tc>
        <w:tc>
          <w:tcPr>
            <w:tcW w:w="1540" w:type="dxa"/>
            <w:noWrap/>
            <w:vAlign w:val="center"/>
          </w:tcPr>
          <w:p w14:paraId="3A416057" w14:textId="173EB3DE" w:rsidR="006374EE" w:rsidRPr="00F64045" w:rsidRDefault="006374EE" w:rsidP="006374EE">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12</w:t>
            </w:r>
          </w:p>
        </w:tc>
        <w:tc>
          <w:tcPr>
            <w:tcW w:w="1540" w:type="dxa"/>
            <w:vAlign w:val="center"/>
          </w:tcPr>
          <w:p w14:paraId="7919BFFF" w14:textId="6796E208" w:rsidR="006374EE" w:rsidRPr="00F64045" w:rsidRDefault="006374EE" w:rsidP="006374EE">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260</w:t>
            </w:r>
          </w:p>
        </w:tc>
        <w:tc>
          <w:tcPr>
            <w:tcW w:w="1540" w:type="dxa"/>
            <w:vAlign w:val="center"/>
          </w:tcPr>
          <w:p w14:paraId="6BE78408" w14:textId="624286AC" w:rsidR="006374EE" w:rsidRPr="00F64045" w:rsidRDefault="006374EE" w:rsidP="006374EE">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208</w:t>
            </w:r>
          </w:p>
        </w:tc>
        <w:tc>
          <w:tcPr>
            <w:tcW w:w="1540" w:type="dxa"/>
            <w:vAlign w:val="center"/>
          </w:tcPr>
          <w:p w14:paraId="2BC1246A" w14:textId="71EACDBC" w:rsidR="006374EE" w:rsidRPr="00F64045" w:rsidRDefault="006374EE" w:rsidP="006374EE">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161</w:t>
            </w:r>
          </w:p>
        </w:tc>
        <w:tc>
          <w:tcPr>
            <w:tcW w:w="1540" w:type="dxa"/>
            <w:vAlign w:val="center"/>
          </w:tcPr>
          <w:p w14:paraId="2B9EB393" w14:textId="51120B1C" w:rsidR="006374EE" w:rsidRPr="00F64045" w:rsidRDefault="006374EE" w:rsidP="006374EE">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641</w:t>
            </w:r>
          </w:p>
        </w:tc>
      </w:tr>
      <w:tr w:rsidR="006374EE" w:rsidRPr="00916A56" w14:paraId="0BFFFA8E" w14:textId="77777777" w:rsidTr="00C80CB5">
        <w:trPr>
          <w:trHeight w:val="324"/>
        </w:trPr>
        <w:tc>
          <w:tcPr>
            <w:cnfStyle w:val="001000000000" w:firstRow="0" w:lastRow="0" w:firstColumn="1" w:lastColumn="0" w:oddVBand="0" w:evenVBand="0" w:oddHBand="0" w:evenHBand="0" w:firstRowFirstColumn="0" w:firstRowLastColumn="0" w:lastRowFirstColumn="0" w:lastRowLastColumn="0"/>
            <w:tcW w:w="1338" w:type="dxa"/>
            <w:noWrap/>
            <w:vAlign w:val="center"/>
          </w:tcPr>
          <w:p w14:paraId="6271CE26" w14:textId="3BFE6002" w:rsidR="006374EE" w:rsidRPr="006E52A7" w:rsidRDefault="006374EE" w:rsidP="006374EE">
            <w:pPr>
              <w:jc w:val="center"/>
              <w:rPr>
                <w:rFonts w:ascii="Calibri" w:hAnsi="Calibri" w:cs="Calibri"/>
                <w:i/>
                <w:iCs/>
                <w:color w:val="000000"/>
              </w:rPr>
            </w:pPr>
            <w:r w:rsidRPr="006E52A7">
              <w:rPr>
                <w:rFonts w:ascii="Calibri" w:hAnsi="Calibri" w:cs="Calibri"/>
                <w:i/>
                <w:iCs/>
                <w:color w:val="000000"/>
              </w:rPr>
              <w:t>2023 Total</w:t>
            </w:r>
          </w:p>
        </w:tc>
        <w:tc>
          <w:tcPr>
            <w:tcW w:w="1540" w:type="dxa"/>
            <w:noWrap/>
            <w:vAlign w:val="center"/>
          </w:tcPr>
          <w:p w14:paraId="42FE71D4" w14:textId="2A133870" w:rsidR="006374EE" w:rsidRPr="00F64045" w:rsidRDefault="006374EE" w:rsidP="006374EE">
            <w:pPr>
              <w:jc w:val="center"/>
              <w:cnfStyle w:val="000000000000" w:firstRow="0" w:lastRow="0" w:firstColumn="0" w:lastColumn="0" w:oddVBand="0" w:evenVBand="0" w:oddHBand="0" w:evenHBand="0" w:firstRowFirstColumn="0" w:firstRowLastColumn="0" w:lastRowFirstColumn="0" w:lastRowLastColumn="0"/>
              <w:rPr>
                <w:b/>
                <w:bCs/>
                <w:i/>
                <w:iCs/>
                <w:color w:val="000000"/>
              </w:rPr>
            </w:pPr>
            <w:r>
              <w:rPr>
                <w:rFonts w:ascii="Calibri" w:hAnsi="Calibri" w:cs="Calibri"/>
                <w:b/>
                <w:bCs/>
                <w:i/>
                <w:iCs/>
                <w:color w:val="000000"/>
              </w:rPr>
              <w:t>56</w:t>
            </w:r>
          </w:p>
        </w:tc>
        <w:tc>
          <w:tcPr>
            <w:tcW w:w="1540" w:type="dxa"/>
            <w:vAlign w:val="center"/>
          </w:tcPr>
          <w:p w14:paraId="3661ACAE" w14:textId="5C62BE96" w:rsidR="006374EE" w:rsidRPr="00F64045" w:rsidRDefault="006374EE" w:rsidP="006374EE">
            <w:pPr>
              <w:jc w:val="center"/>
              <w:cnfStyle w:val="000000000000" w:firstRow="0" w:lastRow="0" w:firstColumn="0" w:lastColumn="0" w:oddVBand="0" w:evenVBand="0" w:oddHBand="0" w:evenHBand="0" w:firstRowFirstColumn="0" w:firstRowLastColumn="0" w:lastRowFirstColumn="0" w:lastRowLastColumn="0"/>
              <w:rPr>
                <w:b/>
                <w:bCs/>
                <w:i/>
                <w:iCs/>
                <w:color w:val="000000"/>
              </w:rPr>
            </w:pPr>
            <w:r>
              <w:rPr>
                <w:rFonts w:ascii="Calibri" w:hAnsi="Calibri" w:cs="Calibri"/>
                <w:b/>
                <w:bCs/>
                <w:i/>
                <w:iCs/>
                <w:color w:val="000000"/>
              </w:rPr>
              <w:t>833</w:t>
            </w:r>
          </w:p>
        </w:tc>
        <w:tc>
          <w:tcPr>
            <w:tcW w:w="1540" w:type="dxa"/>
            <w:vAlign w:val="center"/>
          </w:tcPr>
          <w:p w14:paraId="5C2A60CE" w14:textId="6684E870" w:rsidR="006374EE" w:rsidRPr="00F64045" w:rsidRDefault="006374EE" w:rsidP="006374EE">
            <w:pPr>
              <w:jc w:val="center"/>
              <w:cnfStyle w:val="000000000000" w:firstRow="0" w:lastRow="0" w:firstColumn="0" w:lastColumn="0" w:oddVBand="0" w:evenVBand="0" w:oddHBand="0" w:evenHBand="0" w:firstRowFirstColumn="0" w:firstRowLastColumn="0" w:lastRowFirstColumn="0" w:lastRowLastColumn="0"/>
              <w:rPr>
                <w:b/>
                <w:bCs/>
                <w:i/>
                <w:iCs/>
                <w:color w:val="000000"/>
              </w:rPr>
            </w:pPr>
            <w:r>
              <w:rPr>
                <w:rFonts w:ascii="Calibri" w:hAnsi="Calibri" w:cs="Calibri"/>
                <w:b/>
                <w:bCs/>
                <w:i/>
                <w:iCs/>
                <w:color w:val="000000"/>
              </w:rPr>
              <w:t>893</w:t>
            </w:r>
          </w:p>
        </w:tc>
        <w:tc>
          <w:tcPr>
            <w:tcW w:w="1540" w:type="dxa"/>
            <w:vAlign w:val="center"/>
          </w:tcPr>
          <w:p w14:paraId="60D0B79E" w14:textId="13AF4AE5" w:rsidR="006374EE" w:rsidRPr="00F64045" w:rsidRDefault="006374EE" w:rsidP="006374EE">
            <w:pPr>
              <w:jc w:val="center"/>
              <w:cnfStyle w:val="000000000000" w:firstRow="0" w:lastRow="0" w:firstColumn="0" w:lastColumn="0" w:oddVBand="0" w:evenVBand="0" w:oddHBand="0" w:evenHBand="0" w:firstRowFirstColumn="0" w:firstRowLastColumn="0" w:lastRowFirstColumn="0" w:lastRowLastColumn="0"/>
              <w:rPr>
                <w:b/>
                <w:bCs/>
                <w:i/>
                <w:iCs/>
                <w:color w:val="000000"/>
              </w:rPr>
            </w:pPr>
            <w:r>
              <w:rPr>
                <w:rFonts w:ascii="Calibri" w:hAnsi="Calibri" w:cs="Calibri"/>
                <w:b/>
                <w:bCs/>
                <w:i/>
                <w:iCs/>
                <w:color w:val="000000"/>
              </w:rPr>
              <w:t>714</w:t>
            </w:r>
          </w:p>
        </w:tc>
        <w:tc>
          <w:tcPr>
            <w:tcW w:w="1540" w:type="dxa"/>
            <w:vAlign w:val="center"/>
          </w:tcPr>
          <w:p w14:paraId="4221211C" w14:textId="0B6C1068" w:rsidR="006374EE" w:rsidRPr="00F64045" w:rsidRDefault="006374EE" w:rsidP="006374EE">
            <w:pPr>
              <w:jc w:val="center"/>
              <w:cnfStyle w:val="000000000000" w:firstRow="0" w:lastRow="0" w:firstColumn="0" w:lastColumn="0" w:oddVBand="0" w:evenVBand="0" w:oddHBand="0" w:evenHBand="0" w:firstRowFirstColumn="0" w:firstRowLastColumn="0" w:lastRowFirstColumn="0" w:lastRowLastColumn="0"/>
              <w:rPr>
                <w:b/>
                <w:bCs/>
                <w:i/>
                <w:iCs/>
                <w:color w:val="000000"/>
              </w:rPr>
            </w:pPr>
            <w:r>
              <w:rPr>
                <w:rFonts w:ascii="Calibri" w:hAnsi="Calibri" w:cs="Calibri"/>
                <w:b/>
                <w:bCs/>
                <w:i/>
                <w:iCs/>
                <w:color w:val="000000"/>
              </w:rPr>
              <w:t>2,496</w:t>
            </w:r>
          </w:p>
        </w:tc>
      </w:tr>
      <w:tr w:rsidR="006374EE" w:rsidRPr="00916A56" w14:paraId="252C9090" w14:textId="77777777" w:rsidTr="00C80CB5">
        <w:trPr>
          <w:trHeight w:val="324"/>
        </w:trPr>
        <w:tc>
          <w:tcPr>
            <w:cnfStyle w:val="001000000000" w:firstRow="0" w:lastRow="0" w:firstColumn="1" w:lastColumn="0" w:oddVBand="0" w:evenVBand="0" w:oddHBand="0" w:evenHBand="0" w:firstRowFirstColumn="0" w:firstRowLastColumn="0" w:lastRowFirstColumn="0" w:lastRowLastColumn="0"/>
            <w:tcW w:w="1338" w:type="dxa"/>
            <w:noWrap/>
            <w:vAlign w:val="center"/>
          </w:tcPr>
          <w:p w14:paraId="6985661A" w14:textId="77777777" w:rsidR="006374EE" w:rsidRPr="006E52A7" w:rsidRDefault="006374EE" w:rsidP="006374EE">
            <w:pPr>
              <w:jc w:val="center"/>
              <w:rPr>
                <w:rFonts w:ascii="Calibri" w:hAnsi="Calibri" w:cs="Calibri"/>
                <w:i/>
                <w:iCs/>
                <w:color w:val="000000"/>
              </w:rPr>
            </w:pPr>
          </w:p>
        </w:tc>
        <w:tc>
          <w:tcPr>
            <w:tcW w:w="1540" w:type="dxa"/>
            <w:noWrap/>
            <w:vAlign w:val="center"/>
          </w:tcPr>
          <w:p w14:paraId="3DAAF48C" w14:textId="58099D11" w:rsidR="006374EE" w:rsidRPr="00F64045" w:rsidRDefault="006374EE" w:rsidP="006374EE">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color w:val="000000"/>
              </w:rPr>
              <w:t> </w:t>
            </w:r>
          </w:p>
        </w:tc>
        <w:tc>
          <w:tcPr>
            <w:tcW w:w="1540" w:type="dxa"/>
            <w:vAlign w:val="center"/>
          </w:tcPr>
          <w:p w14:paraId="6274776C" w14:textId="18522F2F" w:rsidR="006374EE" w:rsidRPr="00F64045" w:rsidRDefault="006374EE" w:rsidP="006374EE">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color w:val="000000"/>
              </w:rPr>
              <w:t> </w:t>
            </w:r>
          </w:p>
        </w:tc>
        <w:tc>
          <w:tcPr>
            <w:tcW w:w="1540" w:type="dxa"/>
            <w:vAlign w:val="center"/>
          </w:tcPr>
          <w:p w14:paraId="29165EE6" w14:textId="35B34049" w:rsidR="006374EE" w:rsidRPr="00F64045" w:rsidRDefault="006374EE" w:rsidP="006374EE">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color w:val="000000"/>
              </w:rPr>
              <w:t> </w:t>
            </w:r>
          </w:p>
        </w:tc>
        <w:tc>
          <w:tcPr>
            <w:tcW w:w="1540" w:type="dxa"/>
            <w:vAlign w:val="center"/>
          </w:tcPr>
          <w:p w14:paraId="5A437046" w14:textId="36C18ABF" w:rsidR="006374EE" w:rsidRPr="00F64045" w:rsidRDefault="006374EE" w:rsidP="006374EE">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color w:val="000000"/>
              </w:rPr>
              <w:t> </w:t>
            </w:r>
          </w:p>
        </w:tc>
        <w:tc>
          <w:tcPr>
            <w:tcW w:w="1540" w:type="dxa"/>
            <w:vAlign w:val="center"/>
          </w:tcPr>
          <w:p w14:paraId="68371BA6" w14:textId="776CB7D1" w:rsidR="006374EE" w:rsidRPr="00F64045" w:rsidRDefault="006374EE" w:rsidP="006374EE">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color w:val="000000"/>
              </w:rPr>
              <w:t> </w:t>
            </w:r>
          </w:p>
        </w:tc>
      </w:tr>
      <w:tr w:rsidR="006374EE" w:rsidRPr="00916A56" w14:paraId="7D953B56" w14:textId="77777777" w:rsidTr="00C80CB5">
        <w:trPr>
          <w:trHeight w:val="324"/>
        </w:trPr>
        <w:tc>
          <w:tcPr>
            <w:cnfStyle w:val="001000000000" w:firstRow="0" w:lastRow="0" w:firstColumn="1" w:lastColumn="0" w:oddVBand="0" w:evenVBand="0" w:oddHBand="0" w:evenHBand="0" w:firstRowFirstColumn="0" w:firstRowLastColumn="0" w:lastRowFirstColumn="0" w:lastRowLastColumn="0"/>
            <w:tcW w:w="1338" w:type="dxa"/>
            <w:noWrap/>
            <w:vAlign w:val="center"/>
          </w:tcPr>
          <w:p w14:paraId="099F58C7" w14:textId="110197B4" w:rsidR="006374EE" w:rsidRPr="006E52A7" w:rsidRDefault="006374EE" w:rsidP="006374EE">
            <w:pPr>
              <w:jc w:val="center"/>
              <w:rPr>
                <w:rFonts w:ascii="Calibri" w:hAnsi="Calibri" w:cs="Calibri"/>
                <w:i/>
                <w:iCs/>
                <w:color w:val="000000"/>
              </w:rPr>
            </w:pPr>
            <w:r w:rsidRPr="000301D2">
              <w:rPr>
                <w:rFonts w:ascii="Calibri" w:hAnsi="Calibri" w:cs="Calibri"/>
                <w:bCs w:val="0"/>
                <w:color w:val="000000"/>
              </w:rPr>
              <w:t>202</w:t>
            </w:r>
            <w:r>
              <w:rPr>
                <w:rFonts w:ascii="Calibri" w:hAnsi="Calibri" w:cs="Calibri"/>
                <w:bCs w:val="0"/>
                <w:color w:val="000000"/>
              </w:rPr>
              <w:t>4</w:t>
            </w:r>
            <w:r w:rsidRPr="000301D2">
              <w:rPr>
                <w:rFonts w:ascii="Calibri" w:hAnsi="Calibri" w:cs="Calibri"/>
                <w:bCs w:val="0"/>
                <w:color w:val="000000"/>
              </w:rPr>
              <w:t xml:space="preserve"> – Q1 </w:t>
            </w:r>
          </w:p>
        </w:tc>
        <w:tc>
          <w:tcPr>
            <w:tcW w:w="1540" w:type="dxa"/>
            <w:noWrap/>
            <w:vAlign w:val="center"/>
          </w:tcPr>
          <w:p w14:paraId="411D9107" w14:textId="1F04DA5B" w:rsidR="006374EE" w:rsidRPr="00F64045" w:rsidRDefault="006374EE" w:rsidP="006374EE">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color w:val="000000"/>
              </w:rPr>
              <w:t>13</w:t>
            </w:r>
          </w:p>
        </w:tc>
        <w:tc>
          <w:tcPr>
            <w:tcW w:w="1540" w:type="dxa"/>
            <w:vAlign w:val="center"/>
          </w:tcPr>
          <w:p w14:paraId="26517F01" w14:textId="7400CCE0" w:rsidR="006374EE" w:rsidRPr="00F64045" w:rsidRDefault="006374EE" w:rsidP="006374EE">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color w:val="000000"/>
              </w:rPr>
              <w:t>187</w:t>
            </w:r>
          </w:p>
        </w:tc>
        <w:tc>
          <w:tcPr>
            <w:tcW w:w="1540" w:type="dxa"/>
            <w:vAlign w:val="center"/>
          </w:tcPr>
          <w:p w14:paraId="1F820B74" w14:textId="4348BE84" w:rsidR="006374EE" w:rsidRPr="00F64045" w:rsidRDefault="006374EE" w:rsidP="006374EE">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color w:val="000000"/>
              </w:rPr>
              <w:t>204</w:t>
            </w:r>
          </w:p>
        </w:tc>
        <w:tc>
          <w:tcPr>
            <w:tcW w:w="1540" w:type="dxa"/>
            <w:vAlign w:val="center"/>
          </w:tcPr>
          <w:p w14:paraId="5AFE1C8F" w14:textId="188585F7" w:rsidR="006374EE" w:rsidRPr="00F64045" w:rsidRDefault="006374EE" w:rsidP="006374EE">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color w:val="000000"/>
              </w:rPr>
              <w:t>163</w:t>
            </w:r>
          </w:p>
        </w:tc>
        <w:tc>
          <w:tcPr>
            <w:tcW w:w="1540" w:type="dxa"/>
            <w:vAlign w:val="center"/>
          </w:tcPr>
          <w:p w14:paraId="619A755C" w14:textId="6C070E6A" w:rsidR="006374EE" w:rsidRPr="00F64045" w:rsidRDefault="006374EE" w:rsidP="006374EE">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color w:val="000000"/>
              </w:rPr>
              <w:t>567</w:t>
            </w:r>
          </w:p>
        </w:tc>
      </w:tr>
      <w:tr w:rsidR="006374EE" w:rsidRPr="00916A56" w14:paraId="2604FDB6" w14:textId="77777777" w:rsidTr="00C80CB5">
        <w:trPr>
          <w:trHeight w:val="324"/>
        </w:trPr>
        <w:tc>
          <w:tcPr>
            <w:cnfStyle w:val="001000000000" w:firstRow="0" w:lastRow="0" w:firstColumn="1" w:lastColumn="0" w:oddVBand="0" w:evenVBand="0" w:oddHBand="0" w:evenHBand="0" w:firstRowFirstColumn="0" w:firstRowLastColumn="0" w:lastRowFirstColumn="0" w:lastRowLastColumn="0"/>
            <w:tcW w:w="1338" w:type="dxa"/>
            <w:noWrap/>
            <w:vAlign w:val="center"/>
          </w:tcPr>
          <w:p w14:paraId="54D1AE28" w14:textId="796CCF10" w:rsidR="006374EE" w:rsidRPr="000301D2" w:rsidRDefault="006374EE" w:rsidP="006374EE">
            <w:pPr>
              <w:jc w:val="center"/>
              <w:rPr>
                <w:rFonts w:ascii="Calibri" w:hAnsi="Calibri" w:cs="Calibri"/>
                <w:color w:val="000000"/>
              </w:rPr>
            </w:pPr>
            <w:r w:rsidRPr="000301D2">
              <w:rPr>
                <w:rFonts w:ascii="Calibri" w:hAnsi="Calibri" w:cs="Calibri"/>
                <w:bCs w:val="0"/>
                <w:color w:val="000000"/>
              </w:rPr>
              <w:t>202</w:t>
            </w:r>
            <w:r>
              <w:rPr>
                <w:rFonts w:ascii="Calibri" w:hAnsi="Calibri" w:cs="Calibri"/>
                <w:bCs w:val="0"/>
                <w:color w:val="000000"/>
              </w:rPr>
              <w:t>4</w:t>
            </w:r>
            <w:r w:rsidRPr="000301D2">
              <w:rPr>
                <w:rFonts w:ascii="Calibri" w:hAnsi="Calibri" w:cs="Calibri"/>
                <w:bCs w:val="0"/>
                <w:color w:val="000000"/>
              </w:rPr>
              <w:t xml:space="preserve"> – Q</w:t>
            </w:r>
            <w:r>
              <w:rPr>
                <w:rFonts w:ascii="Calibri" w:hAnsi="Calibri" w:cs="Calibri"/>
                <w:bCs w:val="0"/>
                <w:color w:val="000000"/>
              </w:rPr>
              <w:t>2</w:t>
            </w:r>
          </w:p>
        </w:tc>
        <w:tc>
          <w:tcPr>
            <w:tcW w:w="1540" w:type="dxa"/>
            <w:noWrap/>
            <w:vAlign w:val="center"/>
          </w:tcPr>
          <w:p w14:paraId="0B131CFC" w14:textId="366E5750" w:rsidR="006374EE" w:rsidRPr="00F64045" w:rsidRDefault="006374EE" w:rsidP="006374EE">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i/>
                <w:iCs/>
                <w:color w:val="000000"/>
              </w:rPr>
              <w:t>9</w:t>
            </w:r>
          </w:p>
        </w:tc>
        <w:tc>
          <w:tcPr>
            <w:tcW w:w="1540" w:type="dxa"/>
            <w:vAlign w:val="center"/>
          </w:tcPr>
          <w:p w14:paraId="774BAAF6" w14:textId="3BD13F61" w:rsidR="006374EE" w:rsidRPr="00F64045" w:rsidRDefault="006374EE" w:rsidP="006374EE">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i/>
                <w:iCs/>
                <w:color w:val="000000"/>
              </w:rPr>
              <w:t>178</w:t>
            </w:r>
          </w:p>
        </w:tc>
        <w:tc>
          <w:tcPr>
            <w:tcW w:w="1540" w:type="dxa"/>
            <w:vAlign w:val="center"/>
          </w:tcPr>
          <w:p w14:paraId="2CEAA125" w14:textId="77D8A691" w:rsidR="006374EE" w:rsidRPr="00F64045" w:rsidRDefault="006374EE" w:rsidP="006374EE">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i/>
                <w:iCs/>
                <w:color w:val="000000"/>
              </w:rPr>
              <w:t>241</w:t>
            </w:r>
          </w:p>
        </w:tc>
        <w:tc>
          <w:tcPr>
            <w:tcW w:w="1540" w:type="dxa"/>
            <w:vAlign w:val="center"/>
          </w:tcPr>
          <w:p w14:paraId="4034D2FF" w14:textId="0030BE2E" w:rsidR="006374EE" w:rsidRPr="00F64045" w:rsidRDefault="006374EE" w:rsidP="006374EE">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i/>
                <w:iCs/>
                <w:color w:val="000000"/>
              </w:rPr>
              <w:t>145</w:t>
            </w:r>
          </w:p>
        </w:tc>
        <w:tc>
          <w:tcPr>
            <w:tcW w:w="1540" w:type="dxa"/>
            <w:vAlign w:val="center"/>
          </w:tcPr>
          <w:p w14:paraId="458F5036" w14:textId="40ABEDD3" w:rsidR="006374EE" w:rsidRPr="00F64045" w:rsidRDefault="006374EE" w:rsidP="006374EE">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i/>
                <w:iCs/>
                <w:color w:val="000000"/>
              </w:rPr>
              <w:t>573</w:t>
            </w:r>
          </w:p>
        </w:tc>
      </w:tr>
      <w:tr w:rsidR="006374EE" w:rsidRPr="00916A56" w14:paraId="55B244FF" w14:textId="77777777" w:rsidTr="00C80CB5">
        <w:trPr>
          <w:trHeight w:val="324"/>
        </w:trPr>
        <w:tc>
          <w:tcPr>
            <w:cnfStyle w:val="001000000000" w:firstRow="0" w:lastRow="0" w:firstColumn="1" w:lastColumn="0" w:oddVBand="0" w:evenVBand="0" w:oddHBand="0" w:evenHBand="0" w:firstRowFirstColumn="0" w:firstRowLastColumn="0" w:lastRowFirstColumn="0" w:lastRowLastColumn="0"/>
            <w:tcW w:w="1338" w:type="dxa"/>
            <w:noWrap/>
            <w:vAlign w:val="center"/>
          </w:tcPr>
          <w:p w14:paraId="5D6FFA86" w14:textId="68F4958E" w:rsidR="006374EE" w:rsidRPr="000301D2" w:rsidRDefault="006374EE" w:rsidP="006374EE">
            <w:pPr>
              <w:jc w:val="center"/>
              <w:rPr>
                <w:rFonts w:ascii="Calibri" w:hAnsi="Calibri" w:cs="Calibri"/>
                <w:color w:val="000000"/>
              </w:rPr>
            </w:pPr>
            <w:r>
              <w:rPr>
                <w:rFonts w:ascii="Calibri" w:hAnsi="Calibri" w:cs="Calibri"/>
                <w:color w:val="000000"/>
              </w:rPr>
              <w:t>2024 – Q3</w:t>
            </w:r>
          </w:p>
        </w:tc>
        <w:tc>
          <w:tcPr>
            <w:tcW w:w="1540" w:type="dxa"/>
            <w:noWrap/>
            <w:vAlign w:val="center"/>
          </w:tcPr>
          <w:p w14:paraId="2BEABCA0" w14:textId="1ECF85E1"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19</w:t>
            </w:r>
          </w:p>
        </w:tc>
        <w:tc>
          <w:tcPr>
            <w:tcW w:w="1540" w:type="dxa"/>
            <w:vAlign w:val="center"/>
          </w:tcPr>
          <w:p w14:paraId="675306B6" w14:textId="1A4FD47E"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211</w:t>
            </w:r>
          </w:p>
        </w:tc>
        <w:tc>
          <w:tcPr>
            <w:tcW w:w="1540" w:type="dxa"/>
            <w:vAlign w:val="center"/>
          </w:tcPr>
          <w:p w14:paraId="773563FB" w14:textId="0397B1C1"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207</w:t>
            </w:r>
          </w:p>
        </w:tc>
        <w:tc>
          <w:tcPr>
            <w:tcW w:w="1540" w:type="dxa"/>
            <w:vAlign w:val="center"/>
          </w:tcPr>
          <w:p w14:paraId="56499BA7" w14:textId="6D8AF3A1"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161</w:t>
            </w:r>
          </w:p>
        </w:tc>
        <w:tc>
          <w:tcPr>
            <w:tcW w:w="1540" w:type="dxa"/>
            <w:vAlign w:val="center"/>
          </w:tcPr>
          <w:p w14:paraId="60E53F17" w14:textId="06B16260" w:rsidR="006374EE" w:rsidRDefault="006374EE" w:rsidP="006374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598</w:t>
            </w:r>
          </w:p>
        </w:tc>
      </w:tr>
    </w:tbl>
    <w:p w14:paraId="1102B196" w14:textId="2EE8AF80" w:rsidR="002335A3" w:rsidRDefault="0066786B" w:rsidP="00575048">
      <w:pPr>
        <w:rPr>
          <w:noProof/>
        </w:rPr>
      </w:pPr>
      <w:r w:rsidRPr="003E3F03">
        <w:rPr>
          <w:i/>
          <w:sz w:val="20"/>
          <w:szCs w:val="20"/>
        </w:rPr>
        <w:t xml:space="preserve">Table 2: </w:t>
      </w:r>
      <w:r w:rsidR="0058671C" w:rsidRPr="003E3F03">
        <w:rPr>
          <w:i/>
          <w:sz w:val="20"/>
          <w:szCs w:val="20"/>
        </w:rPr>
        <w:t xml:space="preserve">Number of verified residential property sales by type in </w:t>
      </w:r>
      <w:r w:rsidRPr="003E3F03">
        <w:rPr>
          <w:i/>
          <w:sz w:val="20"/>
          <w:szCs w:val="20"/>
        </w:rPr>
        <w:t xml:space="preserve">Armagh City, Banbridge and Craigavon </w:t>
      </w:r>
      <w:r w:rsidRPr="00907375">
        <w:rPr>
          <w:i/>
          <w:sz w:val="20"/>
          <w:szCs w:val="20"/>
        </w:rPr>
        <w:t xml:space="preserve">Borough Q1 </w:t>
      </w:r>
      <w:r w:rsidR="0058671C" w:rsidRPr="00907375">
        <w:rPr>
          <w:i/>
          <w:sz w:val="20"/>
          <w:szCs w:val="20"/>
        </w:rPr>
        <w:t>2015</w:t>
      </w:r>
      <w:r w:rsidRPr="00907375">
        <w:rPr>
          <w:i/>
          <w:sz w:val="20"/>
          <w:szCs w:val="20"/>
        </w:rPr>
        <w:t xml:space="preserve"> to Q</w:t>
      </w:r>
      <w:r w:rsidR="006374EE">
        <w:rPr>
          <w:i/>
          <w:sz w:val="20"/>
          <w:szCs w:val="20"/>
        </w:rPr>
        <w:t>3</w:t>
      </w:r>
      <w:r w:rsidR="000301D2">
        <w:rPr>
          <w:i/>
          <w:sz w:val="20"/>
          <w:szCs w:val="20"/>
        </w:rPr>
        <w:t xml:space="preserve"> </w:t>
      </w:r>
      <w:r w:rsidR="005757B8" w:rsidRPr="00907375">
        <w:rPr>
          <w:i/>
          <w:sz w:val="20"/>
          <w:szCs w:val="20"/>
        </w:rPr>
        <w:t>202</w:t>
      </w:r>
      <w:r w:rsidR="00D249BD">
        <w:rPr>
          <w:i/>
          <w:sz w:val="20"/>
          <w:szCs w:val="20"/>
        </w:rPr>
        <w:t>4</w:t>
      </w:r>
      <w:r w:rsidR="005757B8" w:rsidRPr="00907375">
        <w:rPr>
          <w:rStyle w:val="FootnoteReference"/>
          <w:i/>
          <w:sz w:val="20"/>
          <w:szCs w:val="20"/>
        </w:rPr>
        <w:footnoteReference w:id="4"/>
      </w:r>
      <w:r w:rsidRPr="00907375">
        <w:rPr>
          <w:i/>
          <w:sz w:val="20"/>
          <w:szCs w:val="20"/>
        </w:rPr>
        <w:t>. Source: Land and Property Services, NISRA.</w:t>
      </w:r>
      <w:r w:rsidR="00532F05" w:rsidRPr="001C72D8">
        <w:rPr>
          <w:i/>
          <w:sz w:val="20"/>
          <w:szCs w:val="20"/>
        </w:rPr>
        <w:t xml:space="preserve"> </w:t>
      </w:r>
      <w:r w:rsidR="000E3074" w:rsidRPr="000E3074">
        <w:rPr>
          <w:noProof/>
        </w:rPr>
        <w:t xml:space="preserve">  </w:t>
      </w:r>
    </w:p>
    <w:p w14:paraId="70FEED64" w14:textId="665546D4" w:rsidR="00575048" w:rsidRDefault="002335A3" w:rsidP="00575048">
      <w:pPr>
        <w:rPr>
          <w:i/>
          <w:sz w:val="20"/>
          <w:szCs w:val="20"/>
        </w:rPr>
      </w:pPr>
      <w:r>
        <w:rPr>
          <w:noProof/>
        </w:rPr>
        <w:lastRenderedPageBreak/>
        <w:drawing>
          <wp:inline distT="0" distB="0" distL="0" distR="0" wp14:anchorId="708B286D" wp14:editId="7657A69F">
            <wp:extent cx="5905500" cy="2857500"/>
            <wp:effectExtent l="0" t="0" r="0" b="0"/>
            <wp:docPr id="1151577975" name="Chart 1" descr="No. of verified residential property sales in Armagh City, Banbridge and Craigavon borough 2005-2023">
              <a:extLst xmlns:a="http://schemas.openxmlformats.org/drawingml/2006/main">
                <a:ext uri="{FF2B5EF4-FFF2-40B4-BE49-F238E27FC236}">
                  <a16:creationId xmlns:a16="http://schemas.microsoft.com/office/drawing/2014/main" id="{2612C7F4-7DDD-B886-9EB1-0B022A777B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575048" w:rsidRPr="001C72D8">
        <w:rPr>
          <w:i/>
          <w:sz w:val="20"/>
          <w:szCs w:val="20"/>
        </w:rPr>
        <w:t xml:space="preserve">Figure 3: Number of verified residential property sales in Armagh City, Banbridge and Craigavon Borough </w:t>
      </w:r>
      <w:r w:rsidR="00842332">
        <w:rPr>
          <w:i/>
          <w:sz w:val="20"/>
          <w:szCs w:val="20"/>
        </w:rPr>
        <w:t>2005</w:t>
      </w:r>
      <w:r w:rsidR="00AD017F" w:rsidRPr="001C72D8">
        <w:rPr>
          <w:i/>
          <w:sz w:val="20"/>
          <w:szCs w:val="20"/>
        </w:rPr>
        <w:t xml:space="preserve"> to </w:t>
      </w:r>
      <w:r w:rsidR="00ED1DD6">
        <w:rPr>
          <w:i/>
          <w:sz w:val="20"/>
          <w:szCs w:val="20"/>
        </w:rPr>
        <w:t>2023</w:t>
      </w:r>
      <w:r w:rsidR="00575048" w:rsidRPr="001C72D8">
        <w:rPr>
          <w:i/>
          <w:sz w:val="20"/>
          <w:szCs w:val="20"/>
        </w:rPr>
        <w:t>. Source: Land and Property Services, NISRA.</w:t>
      </w:r>
    </w:p>
    <w:p w14:paraId="79613E8A" w14:textId="5E4D6FB5" w:rsidR="00ED1DD6" w:rsidRPr="00ED1DD6" w:rsidRDefault="00ED1DD6" w:rsidP="00575048">
      <w:pPr>
        <w:rPr>
          <w:iCs/>
          <w:highlight w:val="yellow"/>
        </w:rPr>
      </w:pPr>
      <w:r w:rsidRPr="00ED1DD6">
        <w:rPr>
          <w:iCs/>
        </w:rPr>
        <w:t xml:space="preserve">Figure 3 presents the total number of verified residential property sales in the Borough from 2005 to 2023.  After a period of sharp decline between 2006 and 2008, sales dropped again in 2009 and 2010 before increasing year on year until 2019.  2020 saw another dip in sales followed by an increase in 2021 while 2022 and 2023 have seen further drops in property sales in the Borough. </w:t>
      </w:r>
    </w:p>
    <w:p w14:paraId="7EE607F7" w14:textId="26FDCBA8" w:rsidR="00BF5BEA" w:rsidRPr="00016734" w:rsidRDefault="00BF5BEA" w:rsidP="00575048">
      <w:r w:rsidRPr="00016734">
        <w:t>The number of verified residential property sales</w:t>
      </w:r>
      <w:r w:rsidR="00A409EB" w:rsidRPr="00016734">
        <w:t xml:space="preserve"> in Northern Ireland overall </w:t>
      </w:r>
      <w:r w:rsidR="00ED1DD6">
        <w:t xml:space="preserve">has followed </w:t>
      </w:r>
      <w:r w:rsidR="00C762A8">
        <w:t xml:space="preserve">a similar </w:t>
      </w:r>
      <w:r w:rsidR="00ED1DD6">
        <w:t xml:space="preserve">pattern as the Borough between 2005 and 2023.  </w:t>
      </w:r>
      <w:r w:rsidR="00C762A8">
        <w:t>Sales increased each year between 2010 and 2018 and i</w:t>
      </w:r>
      <w:r w:rsidR="00A409EB" w:rsidRPr="00016734">
        <w:t xml:space="preserve">n 2019 there was a small decline in the total number of residential property sales </w:t>
      </w:r>
      <w:r w:rsidR="00C762A8">
        <w:t>followed by a</w:t>
      </w:r>
      <w:r w:rsidR="00A409EB" w:rsidRPr="00016734">
        <w:t xml:space="preserve"> much sharper decline in 2020 when they reached a low of 21,2</w:t>
      </w:r>
      <w:r w:rsidR="008C353B" w:rsidRPr="00016734">
        <w:t>3</w:t>
      </w:r>
      <w:r w:rsidR="00804F3D">
        <w:t>6</w:t>
      </w:r>
      <w:r w:rsidR="00A409EB" w:rsidRPr="00016734">
        <w:t>.  Betwe</w:t>
      </w:r>
      <w:r w:rsidR="005336B7" w:rsidRPr="00016734">
        <w:t>en 2020 and 2021, there was a 4</w:t>
      </w:r>
      <w:r w:rsidR="004148D5" w:rsidRPr="00016734">
        <w:t>5</w:t>
      </w:r>
      <w:r w:rsidR="00A409EB" w:rsidRPr="00016734">
        <w:t xml:space="preserve">% increase in residential property sales in Northern Ireland to </w:t>
      </w:r>
      <w:r w:rsidR="005336B7" w:rsidRPr="00016734">
        <w:t>over</w:t>
      </w:r>
      <w:r w:rsidR="00A409EB" w:rsidRPr="00016734">
        <w:t xml:space="preserve"> 30,000 sales</w:t>
      </w:r>
      <w:r w:rsidR="001C4719" w:rsidRPr="00016734">
        <w:t xml:space="preserve">. </w:t>
      </w:r>
      <w:r w:rsidR="00317410" w:rsidRPr="00016734">
        <w:t xml:space="preserve"> </w:t>
      </w:r>
      <w:r w:rsidR="009B3F8F" w:rsidRPr="00016734">
        <w:t>However, in</w:t>
      </w:r>
      <w:r w:rsidR="0005381B" w:rsidRPr="00016734">
        <w:t xml:space="preserve"> 2022 </w:t>
      </w:r>
      <w:r w:rsidR="009B3F8F" w:rsidRPr="00016734">
        <w:t xml:space="preserve">total sales declined by </w:t>
      </w:r>
      <w:r w:rsidR="0005381B" w:rsidRPr="00016734">
        <w:t>5</w:t>
      </w:r>
      <w:r w:rsidR="00317410" w:rsidRPr="00016734">
        <w:t>,</w:t>
      </w:r>
      <w:r w:rsidR="00ED6E70" w:rsidRPr="00016734">
        <w:t>4</w:t>
      </w:r>
      <w:r w:rsidR="00804F3D">
        <w:t>46</w:t>
      </w:r>
      <w:r w:rsidR="00317410" w:rsidRPr="00016734">
        <w:t xml:space="preserve"> (</w:t>
      </w:r>
      <w:r w:rsidR="00226F0B" w:rsidRPr="00016734">
        <w:t>1</w:t>
      </w:r>
      <w:r w:rsidR="006C3F57" w:rsidRPr="00016734">
        <w:t>7.</w:t>
      </w:r>
      <w:r w:rsidR="006F74D2">
        <w:t>7</w:t>
      </w:r>
      <w:r w:rsidR="00317410" w:rsidRPr="00016734">
        <w:t xml:space="preserve">%) to </w:t>
      </w:r>
      <w:r w:rsidR="00226F0B" w:rsidRPr="00016734">
        <w:t>25,</w:t>
      </w:r>
      <w:r w:rsidR="006C3F57" w:rsidRPr="00016734">
        <w:t>2</w:t>
      </w:r>
      <w:r w:rsidR="00804F3D">
        <w:t>9</w:t>
      </w:r>
      <w:r w:rsidR="006F74D2">
        <w:t>9</w:t>
      </w:r>
      <w:r w:rsidR="00016734" w:rsidRPr="00016734">
        <w:t xml:space="preserve"> and between 2022 and 2023 there was another decline of approximately 1</w:t>
      </w:r>
      <w:r w:rsidR="006F74D2">
        <w:t>4.</w:t>
      </w:r>
      <w:r w:rsidR="00804F3D">
        <w:t>5</w:t>
      </w:r>
      <w:r w:rsidR="00016734" w:rsidRPr="00016734">
        <w:t>% with total sales at just 21</w:t>
      </w:r>
      <w:r w:rsidR="00136E94">
        <w:t>,</w:t>
      </w:r>
      <w:r w:rsidR="00804F3D">
        <w:t>630</w:t>
      </w:r>
      <w:r w:rsidR="00016734" w:rsidRPr="00016734">
        <w:t xml:space="preserve"> which is </w:t>
      </w:r>
      <w:r w:rsidR="00136E94">
        <w:t>just above the 2020 sales</w:t>
      </w:r>
      <w:r w:rsidR="00C762A8">
        <w:t>.</w:t>
      </w:r>
    </w:p>
    <w:p w14:paraId="59CC8BA2" w14:textId="09C18A55" w:rsidR="0057073C" w:rsidRDefault="00F32554" w:rsidP="00575048">
      <w:r w:rsidRPr="00016734">
        <w:t>In Northern Ireland overall</w:t>
      </w:r>
      <w:r w:rsidR="00CE4438" w:rsidRPr="00016734">
        <w:t xml:space="preserve"> in 202</w:t>
      </w:r>
      <w:r w:rsidR="00016734" w:rsidRPr="00016734">
        <w:t>3</w:t>
      </w:r>
      <w:r w:rsidR="00CE4438" w:rsidRPr="00016734">
        <w:t xml:space="preserve">, </w:t>
      </w:r>
      <w:r w:rsidR="00226F0B" w:rsidRPr="00016734">
        <w:t>semi-detached</w:t>
      </w:r>
      <w:r w:rsidR="00CE4438" w:rsidRPr="00016734">
        <w:t xml:space="preserve"> properties ma</w:t>
      </w:r>
      <w:r w:rsidR="009B3F8F" w:rsidRPr="00016734">
        <w:t>de</w:t>
      </w:r>
      <w:r w:rsidR="00CE4438" w:rsidRPr="00016734">
        <w:t xml:space="preserve"> up the largest proportion of residential property sales accounting for </w:t>
      </w:r>
      <w:r w:rsidR="00016734" w:rsidRPr="00016734">
        <w:t>3</w:t>
      </w:r>
      <w:r w:rsidR="00136E94">
        <w:t>3</w:t>
      </w:r>
      <w:r w:rsidR="00804F3D">
        <w:t>.1</w:t>
      </w:r>
      <w:r w:rsidR="00CE4438" w:rsidRPr="00016734">
        <w:t>% followed by</w:t>
      </w:r>
      <w:r w:rsidR="005A6C2C" w:rsidRPr="00016734">
        <w:t xml:space="preserve"> </w:t>
      </w:r>
      <w:r w:rsidR="00266050" w:rsidRPr="00016734">
        <w:t>terrace</w:t>
      </w:r>
      <w:r w:rsidR="005A6C2C" w:rsidRPr="00016734">
        <w:t xml:space="preserve"> properties (</w:t>
      </w:r>
      <w:r w:rsidR="00016734" w:rsidRPr="00016734">
        <w:t>29.</w:t>
      </w:r>
      <w:r w:rsidR="006F74D2">
        <w:t>3</w:t>
      </w:r>
      <w:r w:rsidR="00CE4438" w:rsidRPr="00016734">
        <w:t>%).  D</w:t>
      </w:r>
      <w:r w:rsidR="00B1799E" w:rsidRPr="00016734">
        <w:t>etached properties</w:t>
      </w:r>
      <w:r w:rsidR="00CE4438" w:rsidRPr="00016734">
        <w:t xml:space="preserve"> account</w:t>
      </w:r>
      <w:r w:rsidR="009B3F8F" w:rsidRPr="00016734">
        <w:t>ed</w:t>
      </w:r>
      <w:r w:rsidR="00CE4438" w:rsidRPr="00016734">
        <w:t xml:space="preserve"> for</w:t>
      </w:r>
      <w:r w:rsidR="00016734" w:rsidRPr="00016734">
        <w:t xml:space="preserve"> </w:t>
      </w:r>
      <w:r w:rsidR="00266050" w:rsidRPr="00016734">
        <w:t>2</w:t>
      </w:r>
      <w:r w:rsidR="00F446F5">
        <w:t>8.</w:t>
      </w:r>
      <w:r w:rsidR="00136E94">
        <w:t>7</w:t>
      </w:r>
      <w:r w:rsidR="00CE4438" w:rsidRPr="00016734">
        <w:t>% of residential property sales</w:t>
      </w:r>
      <w:r w:rsidR="005A6C2C" w:rsidRPr="00016734">
        <w:t xml:space="preserve"> in </w:t>
      </w:r>
      <w:r w:rsidR="00CE4438" w:rsidRPr="00016734">
        <w:t>202</w:t>
      </w:r>
      <w:r w:rsidR="00016734" w:rsidRPr="00016734">
        <w:t>3</w:t>
      </w:r>
      <w:r w:rsidR="00CE4438" w:rsidRPr="00016734">
        <w:t>.</w:t>
      </w:r>
      <w:r w:rsidR="005A6C2C" w:rsidRPr="00016734">
        <w:t xml:space="preserve"> Apartments ma</w:t>
      </w:r>
      <w:r w:rsidR="009B3F8F" w:rsidRPr="00016734">
        <w:t>d</w:t>
      </w:r>
      <w:r w:rsidR="005A6C2C" w:rsidRPr="00016734">
        <w:t xml:space="preserve">e up </w:t>
      </w:r>
      <w:r w:rsidR="00CE4438" w:rsidRPr="00016734">
        <w:t>8.</w:t>
      </w:r>
      <w:r w:rsidR="00016734" w:rsidRPr="00016734">
        <w:t>9</w:t>
      </w:r>
      <w:r w:rsidRPr="00016734">
        <w:t xml:space="preserve">% of </w:t>
      </w:r>
      <w:r w:rsidR="00B41D1F" w:rsidRPr="00016734">
        <w:t xml:space="preserve">residential property </w:t>
      </w:r>
      <w:r w:rsidRPr="00016734">
        <w:t>sales in N</w:t>
      </w:r>
      <w:r w:rsidR="00B1799E" w:rsidRPr="00016734">
        <w:t>orthern Ireland</w:t>
      </w:r>
      <w:r w:rsidR="005A6C2C" w:rsidRPr="00016734">
        <w:t xml:space="preserve"> in </w:t>
      </w:r>
      <w:r w:rsidR="00613D15" w:rsidRPr="00016734">
        <w:t>202</w:t>
      </w:r>
      <w:r w:rsidR="00016734" w:rsidRPr="00016734">
        <w:t>3</w:t>
      </w:r>
      <w:r w:rsidR="00B1799E" w:rsidRPr="00016734">
        <w:t>, com</w:t>
      </w:r>
      <w:r w:rsidR="005A6C2C" w:rsidRPr="00016734">
        <w:t xml:space="preserve">pared to </w:t>
      </w:r>
      <w:r w:rsidR="00CE4438" w:rsidRPr="00016734">
        <w:t>2.</w:t>
      </w:r>
      <w:r w:rsidR="006F74D2">
        <w:t>2</w:t>
      </w:r>
      <w:r w:rsidRPr="00016734">
        <w:t>% in Armagh City, Banbridge and Craigavon</w:t>
      </w:r>
      <w:r w:rsidR="00B1799E" w:rsidRPr="00016734">
        <w:t xml:space="preserve"> Borough</w:t>
      </w:r>
      <w:r w:rsidRPr="00016734">
        <w:t>.</w:t>
      </w:r>
    </w:p>
    <w:p w14:paraId="202084D0" w14:textId="77777777" w:rsidR="00ED1DD6" w:rsidRDefault="00ED1DD6" w:rsidP="00575048"/>
    <w:p w14:paraId="6A05DCEE" w14:textId="77777777" w:rsidR="00ED1DD6" w:rsidRDefault="00ED1DD6" w:rsidP="00575048"/>
    <w:p w14:paraId="685B48DB" w14:textId="77777777" w:rsidR="00ED1DD6" w:rsidRDefault="00ED1DD6" w:rsidP="00575048"/>
    <w:p w14:paraId="4E72BB85" w14:textId="77777777" w:rsidR="00ED1DD6" w:rsidRDefault="00ED1DD6" w:rsidP="00575048"/>
    <w:p w14:paraId="23D81654" w14:textId="77777777" w:rsidR="00ED1DD6" w:rsidRDefault="00ED1DD6" w:rsidP="00575048"/>
    <w:p w14:paraId="4C6D1DF1" w14:textId="77777777" w:rsidR="00ED1DD6" w:rsidRDefault="00ED1DD6" w:rsidP="00575048"/>
    <w:p w14:paraId="1D107461" w14:textId="77777777" w:rsidR="00ED1DD6" w:rsidRPr="001C72D8" w:rsidRDefault="00ED1DD6" w:rsidP="00575048"/>
    <w:tbl>
      <w:tblPr>
        <w:tblStyle w:val="GridTable1Light"/>
        <w:tblW w:w="9356" w:type="dxa"/>
        <w:tblLayout w:type="fixed"/>
        <w:tblLook w:val="04A0" w:firstRow="1" w:lastRow="0" w:firstColumn="1" w:lastColumn="0" w:noHBand="0" w:noVBand="1"/>
        <w:tblCaption w:val="Number of verified residential property sales in Northern Ireland 2015 to 2021"/>
      </w:tblPr>
      <w:tblGrid>
        <w:gridCol w:w="1557"/>
        <w:gridCol w:w="1559"/>
        <w:gridCol w:w="1560"/>
        <w:gridCol w:w="1560"/>
        <w:gridCol w:w="1560"/>
        <w:gridCol w:w="1560"/>
      </w:tblGrid>
      <w:tr w:rsidR="0057073C" w:rsidRPr="002335A3" w14:paraId="2AB6AF8D" w14:textId="77777777" w:rsidTr="002335A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34" w:type="dxa"/>
            <w:noWrap/>
          </w:tcPr>
          <w:p w14:paraId="1715BE44" w14:textId="77777777" w:rsidR="002C715B" w:rsidRPr="002335A3" w:rsidRDefault="002C715B" w:rsidP="00DC75D2">
            <w:pPr>
              <w:rPr>
                <w:rFonts w:cstheme="minorHAnsi"/>
                <w:bCs w:val="0"/>
                <w:lang w:eastAsia="en-GB"/>
              </w:rPr>
            </w:pPr>
          </w:p>
        </w:tc>
        <w:tc>
          <w:tcPr>
            <w:tcW w:w="1535" w:type="dxa"/>
            <w:noWrap/>
          </w:tcPr>
          <w:p w14:paraId="3830E635" w14:textId="77777777" w:rsidR="002C715B" w:rsidRPr="002335A3" w:rsidRDefault="002C715B" w:rsidP="00804F3D">
            <w:pPr>
              <w:jc w:val="center"/>
              <w:cnfStyle w:val="100000000000" w:firstRow="1" w:lastRow="0" w:firstColumn="0" w:lastColumn="0" w:oddVBand="0" w:evenVBand="0" w:oddHBand="0" w:evenHBand="0" w:firstRowFirstColumn="0" w:firstRowLastColumn="0" w:lastRowFirstColumn="0" w:lastRowLastColumn="0"/>
              <w:rPr>
                <w:rFonts w:cstheme="minorHAnsi"/>
                <w:bCs w:val="0"/>
                <w:lang w:eastAsia="en-GB"/>
              </w:rPr>
            </w:pPr>
            <w:r w:rsidRPr="002335A3">
              <w:rPr>
                <w:rFonts w:cstheme="minorHAnsi"/>
                <w:bCs w:val="0"/>
                <w:lang w:eastAsia="en-GB"/>
              </w:rPr>
              <w:t>Apartments</w:t>
            </w:r>
          </w:p>
        </w:tc>
        <w:tc>
          <w:tcPr>
            <w:tcW w:w="1535" w:type="dxa"/>
          </w:tcPr>
          <w:p w14:paraId="46FC5F3D" w14:textId="77777777" w:rsidR="002C715B" w:rsidRPr="002335A3" w:rsidRDefault="002C715B" w:rsidP="00804F3D">
            <w:pPr>
              <w:jc w:val="center"/>
              <w:cnfStyle w:val="100000000000" w:firstRow="1" w:lastRow="0" w:firstColumn="0" w:lastColumn="0" w:oddVBand="0" w:evenVBand="0" w:oddHBand="0" w:evenHBand="0" w:firstRowFirstColumn="0" w:firstRowLastColumn="0" w:lastRowFirstColumn="0" w:lastRowLastColumn="0"/>
              <w:rPr>
                <w:rFonts w:cstheme="minorHAnsi"/>
                <w:bCs w:val="0"/>
                <w:lang w:eastAsia="en-GB"/>
              </w:rPr>
            </w:pPr>
            <w:r w:rsidRPr="002335A3">
              <w:rPr>
                <w:rFonts w:cstheme="minorHAnsi"/>
                <w:bCs w:val="0"/>
                <w:lang w:eastAsia="en-GB"/>
              </w:rPr>
              <w:t>Detached</w:t>
            </w:r>
          </w:p>
        </w:tc>
        <w:tc>
          <w:tcPr>
            <w:tcW w:w="1535" w:type="dxa"/>
          </w:tcPr>
          <w:p w14:paraId="5ADE74C9" w14:textId="77777777" w:rsidR="002C715B" w:rsidRPr="002335A3" w:rsidRDefault="002C715B" w:rsidP="00804F3D">
            <w:pPr>
              <w:jc w:val="center"/>
              <w:cnfStyle w:val="100000000000" w:firstRow="1" w:lastRow="0" w:firstColumn="0" w:lastColumn="0" w:oddVBand="0" w:evenVBand="0" w:oddHBand="0" w:evenHBand="0" w:firstRowFirstColumn="0" w:firstRowLastColumn="0" w:lastRowFirstColumn="0" w:lastRowLastColumn="0"/>
              <w:rPr>
                <w:rFonts w:cstheme="minorHAnsi"/>
                <w:bCs w:val="0"/>
                <w:lang w:eastAsia="en-GB"/>
              </w:rPr>
            </w:pPr>
            <w:r w:rsidRPr="002335A3">
              <w:rPr>
                <w:rFonts w:cstheme="minorHAnsi"/>
                <w:bCs w:val="0"/>
                <w:lang w:eastAsia="en-GB"/>
              </w:rPr>
              <w:t>Semi-detached</w:t>
            </w:r>
          </w:p>
        </w:tc>
        <w:tc>
          <w:tcPr>
            <w:tcW w:w="1535" w:type="dxa"/>
          </w:tcPr>
          <w:p w14:paraId="233323C1" w14:textId="77777777" w:rsidR="002C715B" w:rsidRPr="002335A3" w:rsidRDefault="002C715B" w:rsidP="00804F3D">
            <w:pPr>
              <w:jc w:val="center"/>
              <w:cnfStyle w:val="100000000000" w:firstRow="1" w:lastRow="0" w:firstColumn="0" w:lastColumn="0" w:oddVBand="0" w:evenVBand="0" w:oddHBand="0" w:evenHBand="0" w:firstRowFirstColumn="0" w:firstRowLastColumn="0" w:lastRowFirstColumn="0" w:lastRowLastColumn="0"/>
              <w:rPr>
                <w:rFonts w:cstheme="minorHAnsi"/>
                <w:bCs w:val="0"/>
                <w:lang w:eastAsia="en-GB"/>
              </w:rPr>
            </w:pPr>
            <w:r w:rsidRPr="002335A3">
              <w:rPr>
                <w:rFonts w:cstheme="minorHAnsi"/>
                <w:bCs w:val="0"/>
                <w:lang w:eastAsia="en-GB"/>
              </w:rPr>
              <w:t>Terrace</w:t>
            </w:r>
          </w:p>
        </w:tc>
        <w:tc>
          <w:tcPr>
            <w:tcW w:w="1535" w:type="dxa"/>
          </w:tcPr>
          <w:p w14:paraId="7BEF69B1" w14:textId="77777777" w:rsidR="002C715B" w:rsidRPr="002335A3" w:rsidRDefault="002C715B" w:rsidP="00804F3D">
            <w:pPr>
              <w:jc w:val="center"/>
              <w:cnfStyle w:val="100000000000" w:firstRow="1" w:lastRow="0" w:firstColumn="0" w:lastColumn="0" w:oddVBand="0" w:evenVBand="0" w:oddHBand="0" w:evenHBand="0" w:firstRowFirstColumn="0" w:firstRowLastColumn="0" w:lastRowFirstColumn="0" w:lastRowLastColumn="0"/>
              <w:rPr>
                <w:rFonts w:cstheme="minorHAnsi"/>
                <w:bCs w:val="0"/>
                <w:lang w:eastAsia="en-GB"/>
              </w:rPr>
            </w:pPr>
            <w:r w:rsidRPr="002335A3">
              <w:rPr>
                <w:rFonts w:cstheme="minorHAnsi"/>
                <w:bCs w:val="0"/>
                <w:lang w:eastAsia="en-GB"/>
              </w:rPr>
              <w:t>Total</w:t>
            </w:r>
          </w:p>
        </w:tc>
      </w:tr>
      <w:tr w:rsidR="002335A3" w:rsidRPr="00804F3D" w14:paraId="10E4BC1D" w14:textId="77777777" w:rsidTr="002335A3">
        <w:trPr>
          <w:trHeight w:val="284"/>
        </w:trPr>
        <w:tc>
          <w:tcPr>
            <w:cnfStyle w:val="001000000000" w:firstRow="0" w:lastRow="0" w:firstColumn="1" w:lastColumn="0" w:oddVBand="0" w:evenVBand="0" w:oddHBand="0" w:evenHBand="0" w:firstRowFirstColumn="0" w:firstRowLastColumn="0" w:lastRowFirstColumn="0" w:lastRowLastColumn="0"/>
            <w:tcW w:w="1534" w:type="dxa"/>
            <w:noWrap/>
          </w:tcPr>
          <w:p w14:paraId="01457491" w14:textId="66DAB9D8" w:rsidR="00DC75D2" w:rsidRPr="00804F3D" w:rsidRDefault="00DC75D2" w:rsidP="00DC75D2">
            <w:pPr>
              <w:rPr>
                <w:rFonts w:cstheme="minorHAnsi"/>
                <w:lang w:eastAsia="en-GB"/>
              </w:rPr>
            </w:pPr>
            <w:r w:rsidRPr="00804F3D">
              <w:rPr>
                <w:rFonts w:cstheme="minorHAnsi"/>
              </w:rPr>
              <w:t>2005</w:t>
            </w:r>
          </w:p>
        </w:tc>
        <w:tc>
          <w:tcPr>
            <w:tcW w:w="1535" w:type="dxa"/>
            <w:noWrap/>
          </w:tcPr>
          <w:p w14:paraId="60958FD4" w14:textId="0F504EFD"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1,851</w:t>
            </w:r>
          </w:p>
        </w:tc>
        <w:tc>
          <w:tcPr>
            <w:tcW w:w="1535" w:type="dxa"/>
          </w:tcPr>
          <w:p w14:paraId="64BB97D9" w14:textId="00141E4A"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7,812</w:t>
            </w:r>
          </w:p>
        </w:tc>
        <w:tc>
          <w:tcPr>
            <w:tcW w:w="1535" w:type="dxa"/>
          </w:tcPr>
          <w:p w14:paraId="0BBD515A" w14:textId="46986C00"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9,026</w:t>
            </w:r>
          </w:p>
        </w:tc>
        <w:tc>
          <w:tcPr>
            <w:tcW w:w="1535" w:type="dxa"/>
          </w:tcPr>
          <w:p w14:paraId="78E6A449" w14:textId="61038470"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10,287</w:t>
            </w:r>
          </w:p>
        </w:tc>
        <w:tc>
          <w:tcPr>
            <w:tcW w:w="1535" w:type="dxa"/>
          </w:tcPr>
          <w:p w14:paraId="4339865F" w14:textId="1F51FABD"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804F3D">
              <w:rPr>
                <w:rFonts w:cstheme="minorHAnsi"/>
                <w:b/>
                <w:bCs/>
              </w:rPr>
              <w:t>28,976</w:t>
            </w:r>
          </w:p>
        </w:tc>
      </w:tr>
      <w:tr w:rsidR="002335A3" w:rsidRPr="00804F3D" w14:paraId="01606886" w14:textId="77777777" w:rsidTr="002335A3">
        <w:trPr>
          <w:trHeight w:val="284"/>
        </w:trPr>
        <w:tc>
          <w:tcPr>
            <w:cnfStyle w:val="001000000000" w:firstRow="0" w:lastRow="0" w:firstColumn="1" w:lastColumn="0" w:oddVBand="0" w:evenVBand="0" w:oddHBand="0" w:evenHBand="0" w:firstRowFirstColumn="0" w:firstRowLastColumn="0" w:lastRowFirstColumn="0" w:lastRowLastColumn="0"/>
            <w:tcW w:w="1534" w:type="dxa"/>
            <w:noWrap/>
          </w:tcPr>
          <w:p w14:paraId="4844671E" w14:textId="698FDBC1" w:rsidR="00DC75D2" w:rsidRPr="00804F3D" w:rsidRDefault="00DC75D2" w:rsidP="00DC75D2">
            <w:pPr>
              <w:rPr>
                <w:rFonts w:cstheme="minorHAnsi"/>
                <w:lang w:eastAsia="en-GB"/>
              </w:rPr>
            </w:pPr>
            <w:r w:rsidRPr="00804F3D">
              <w:rPr>
                <w:rFonts w:cstheme="minorHAnsi"/>
              </w:rPr>
              <w:t>2006</w:t>
            </w:r>
          </w:p>
        </w:tc>
        <w:tc>
          <w:tcPr>
            <w:tcW w:w="1535" w:type="dxa"/>
            <w:noWrap/>
          </w:tcPr>
          <w:p w14:paraId="0334B2F5" w14:textId="3392DF77"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3,199</w:t>
            </w:r>
          </w:p>
        </w:tc>
        <w:tc>
          <w:tcPr>
            <w:tcW w:w="1535" w:type="dxa"/>
          </w:tcPr>
          <w:p w14:paraId="17C2184E" w14:textId="4EB36A46"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10,728</w:t>
            </w:r>
          </w:p>
        </w:tc>
        <w:tc>
          <w:tcPr>
            <w:tcW w:w="1535" w:type="dxa"/>
          </w:tcPr>
          <w:p w14:paraId="0C2B1DC4" w14:textId="4153C9F4"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12,163</w:t>
            </w:r>
          </w:p>
        </w:tc>
        <w:tc>
          <w:tcPr>
            <w:tcW w:w="1535" w:type="dxa"/>
          </w:tcPr>
          <w:p w14:paraId="6D219FDF" w14:textId="6C6A50F8"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14,989</w:t>
            </w:r>
          </w:p>
        </w:tc>
        <w:tc>
          <w:tcPr>
            <w:tcW w:w="1535" w:type="dxa"/>
          </w:tcPr>
          <w:p w14:paraId="3DFF2CA4" w14:textId="38B7C292"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804F3D">
              <w:rPr>
                <w:rFonts w:cstheme="minorHAnsi"/>
                <w:b/>
                <w:bCs/>
              </w:rPr>
              <w:t>41,079</w:t>
            </w:r>
          </w:p>
        </w:tc>
      </w:tr>
      <w:tr w:rsidR="002335A3" w:rsidRPr="00804F3D" w14:paraId="66CAFA65" w14:textId="77777777" w:rsidTr="002335A3">
        <w:trPr>
          <w:trHeight w:val="284"/>
        </w:trPr>
        <w:tc>
          <w:tcPr>
            <w:cnfStyle w:val="001000000000" w:firstRow="0" w:lastRow="0" w:firstColumn="1" w:lastColumn="0" w:oddVBand="0" w:evenVBand="0" w:oddHBand="0" w:evenHBand="0" w:firstRowFirstColumn="0" w:firstRowLastColumn="0" w:lastRowFirstColumn="0" w:lastRowLastColumn="0"/>
            <w:tcW w:w="1534" w:type="dxa"/>
            <w:noWrap/>
          </w:tcPr>
          <w:p w14:paraId="29CB082D" w14:textId="24C726BD" w:rsidR="00DC75D2" w:rsidRPr="00804F3D" w:rsidRDefault="00DC75D2" w:rsidP="00DC75D2">
            <w:pPr>
              <w:rPr>
                <w:rFonts w:cstheme="minorHAnsi"/>
                <w:lang w:eastAsia="en-GB"/>
              </w:rPr>
            </w:pPr>
            <w:r w:rsidRPr="00804F3D">
              <w:rPr>
                <w:rFonts w:cstheme="minorHAnsi"/>
              </w:rPr>
              <w:t>2007</w:t>
            </w:r>
          </w:p>
        </w:tc>
        <w:tc>
          <w:tcPr>
            <w:tcW w:w="1535" w:type="dxa"/>
            <w:noWrap/>
          </w:tcPr>
          <w:p w14:paraId="6D05782B" w14:textId="0CECA44E"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2,379</w:t>
            </w:r>
          </w:p>
        </w:tc>
        <w:tc>
          <w:tcPr>
            <w:tcW w:w="1535" w:type="dxa"/>
          </w:tcPr>
          <w:p w14:paraId="05DFF0F3" w14:textId="48A077FA"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7,562</w:t>
            </w:r>
          </w:p>
        </w:tc>
        <w:tc>
          <w:tcPr>
            <w:tcW w:w="1535" w:type="dxa"/>
          </w:tcPr>
          <w:p w14:paraId="7B2B6055" w14:textId="39D83312"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8,241</w:t>
            </w:r>
          </w:p>
        </w:tc>
        <w:tc>
          <w:tcPr>
            <w:tcW w:w="1535" w:type="dxa"/>
          </w:tcPr>
          <w:p w14:paraId="4A1B96B6" w14:textId="50C5A661"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10,872</w:t>
            </w:r>
          </w:p>
        </w:tc>
        <w:tc>
          <w:tcPr>
            <w:tcW w:w="1535" w:type="dxa"/>
          </w:tcPr>
          <w:p w14:paraId="1F71AB72" w14:textId="37100B51"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804F3D">
              <w:rPr>
                <w:rFonts w:cstheme="minorHAnsi"/>
                <w:b/>
                <w:bCs/>
              </w:rPr>
              <w:t>29,054</w:t>
            </w:r>
          </w:p>
        </w:tc>
      </w:tr>
      <w:tr w:rsidR="002335A3" w:rsidRPr="00804F3D" w14:paraId="07BDA860" w14:textId="77777777" w:rsidTr="002335A3">
        <w:trPr>
          <w:trHeight w:val="284"/>
        </w:trPr>
        <w:tc>
          <w:tcPr>
            <w:cnfStyle w:val="001000000000" w:firstRow="0" w:lastRow="0" w:firstColumn="1" w:lastColumn="0" w:oddVBand="0" w:evenVBand="0" w:oddHBand="0" w:evenHBand="0" w:firstRowFirstColumn="0" w:firstRowLastColumn="0" w:lastRowFirstColumn="0" w:lastRowLastColumn="0"/>
            <w:tcW w:w="1534" w:type="dxa"/>
            <w:noWrap/>
          </w:tcPr>
          <w:p w14:paraId="7728F895" w14:textId="3517E45E" w:rsidR="00DC75D2" w:rsidRPr="00804F3D" w:rsidRDefault="00DC75D2" w:rsidP="00DC75D2">
            <w:pPr>
              <w:rPr>
                <w:rFonts w:cstheme="minorHAnsi"/>
                <w:lang w:eastAsia="en-GB"/>
              </w:rPr>
            </w:pPr>
            <w:r w:rsidRPr="00804F3D">
              <w:rPr>
                <w:rFonts w:cstheme="minorHAnsi"/>
              </w:rPr>
              <w:t>2008</w:t>
            </w:r>
          </w:p>
        </w:tc>
        <w:tc>
          <w:tcPr>
            <w:tcW w:w="1535" w:type="dxa"/>
            <w:noWrap/>
          </w:tcPr>
          <w:p w14:paraId="79D554BA" w14:textId="6EAD6E30"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902</w:t>
            </w:r>
          </w:p>
        </w:tc>
        <w:tc>
          <w:tcPr>
            <w:tcW w:w="1535" w:type="dxa"/>
          </w:tcPr>
          <w:p w14:paraId="0820534B" w14:textId="6FC4371F"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2,812</w:t>
            </w:r>
          </w:p>
        </w:tc>
        <w:tc>
          <w:tcPr>
            <w:tcW w:w="1535" w:type="dxa"/>
          </w:tcPr>
          <w:p w14:paraId="5B281120" w14:textId="32378F04"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3,319</w:t>
            </w:r>
          </w:p>
        </w:tc>
        <w:tc>
          <w:tcPr>
            <w:tcW w:w="1535" w:type="dxa"/>
          </w:tcPr>
          <w:p w14:paraId="2B25F143" w14:textId="0EA15B0E"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3,788</w:t>
            </w:r>
          </w:p>
        </w:tc>
        <w:tc>
          <w:tcPr>
            <w:tcW w:w="1535" w:type="dxa"/>
          </w:tcPr>
          <w:p w14:paraId="69A55BBF" w14:textId="23C3D3D3"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804F3D">
              <w:rPr>
                <w:rFonts w:cstheme="minorHAnsi"/>
                <w:b/>
                <w:bCs/>
              </w:rPr>
              <w:t>10,821</w:t>
            </w:r>
          </w:p>
        </w:tc>
      </w:tr>
      <w:tr w:rsidR="002335A3" w:rsidRPr="00804F3D" w14:paraId="1516B20C" w14:textId="77777777" w:rsidTr="002335A3">
        <w:trPr>
          <w:trHeight w:val="284"/>
        </w:trPr>
        <w:tc>
          <w:tcPr>
            <w:cnfStyle w:val="001000000000" w:firstRow="0" w:lastRow="0" w:firstColumn="1" w:lastColumn="0" w:oddVBand="0" w:evenVBand="0" w:oddHBand="0" w:evenHBand="0" w:firstRowFirstColumn="0" w:firstRowLastColumn="0" w:lastRowFirstColumn="0" w:lastRowLastColumn="0"/>
            <w:tcW w:w="1534" w:type="dxa"/>
            <w:noWrap/>
          </w:tcPr>
          <w:p w14:paraId="47C73B0C" w14:textId="407E8141" w:rsidR="00DC75D2" w:rsidRPr="00804F3D" w:rsidRDefault="00DC75D2" w:rsidP="00DC75D2">
            <w:pPr>
              <w:rPr>
                <w:rFonts w:cstheme="minorHAnsi"/>
                <w:lang w:eastAsia="en-GB"/>
              </w:rPr>
            </w:pPr>
            <w:r w:rsidRPr="00804F3D">
              <w:rPr>
                <w:rFonts w:cstheme="minorHAnsi"/>
              </w:rPr>
              <w:t>2009</w:t>
            </w:r>
          </w:p>
        </w:tc>
        <w:tc>
          <w:tcPr>
            <w:tcW w:w="1535" w:type="dxa"/>
            <w:noWrap/>
          </w:tcPr>
          <w:p w14:paraId="41310ED4" w14:textId="22FED73D"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891</w:t>
            </w:r>
          </w:p>
        </w:tc>
        <w:tc>
          <w:tcPr>
            <w:tcW w:w="1535" w:type="dxa"/>
          </w:tcPr>
          <w:p w14:paraId="1212C232" w14:textId="3C73537A"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3,106</w:t>
            </w:r>
          </w:p>
        </w:tc>
        <w:tc>
          <w:tcPr>
            <w:tcW w:w="1535" w:type="dxa"/>
          </w:tcPr>
          <w:p w14:paraId="74B0B035" w14:textId="1A16B487"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4,040</w:t>
            </w:r>
          </w:p>
        </w:tc>
        <w:tc>
          <w:tcPr>
            <w:tcW w:w="1535" w:type="dxa"/>
          </w:tcPr>
          <w:p w14:paraId="3964DC5D" w14:textId="68473A44"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3,607</w:t>
            </w:r>
          </w:p>
        </w:tc>
        <w:tc>
          <w:tcPr>
            <w:tcW w:w="1535" w:type="dxa"/>
          </w:tcPr>
          <w:p w14:paraId="6D66A00B" w14:textId="1BC03AE4"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804F3D">
              <w:rPr>
                <w:rFonts w:cstheme="minorHAnsi"/>
                <w:b/>
                <w:bCs/>
              </w:rPr>
              <w:t>11,644</w:t>
            </w:r>
          </w:p>
        </w:tc>
      </w:tr>
      <w:tr w:rsidR="002335A3" w:rsidRPr="00804F3D" w14:paraId="1A2E1B5D" w14:textId="77777777" w:rsidTr="002335A3">
        <w:trPr>
          <w:trHeight w:val="284"/>
        </w:trPr>
        <w:tc>
          <w:tcPr>
            <w:cnfStyle w:val="001000000000" w:firstRow="0" w:lastRow="0" w:firstColumn="1" w:lastColumn="0" w:oddVBand="0" w:evenVBand="0" w:oddHBand="0" w:evenHBand="0" w:firstRowFirstColumn="0" w:firstRowLastColumn="0" w:lastRowFirstColumn="0" w:lastRowLastColumn="0"/>
            <w:tcW w:w="1534" w:type="dxa"/>
            <w:noWrap/>
          </w:tcPr>
          <w:p w14:paraId="1804BF9F" w14:textId="5C68D1FC" w:rsidR="00DC75D2" w:rsidRPr="00804F3D" w:rsidRDefault="00DC75D2" w:rsidP="00DC75D2">
            <w:pPr>
              <w:rPr>
                <w:rFonts w:cstheme="minorHAnsi"/>
                <w:lang w:eastAsia="en-GB"/>
              </w:rPr>
            </w:pPr>
            <w:r w:rsidRPr="00804F3D">
              <w:rPr>
                <w:rFonts w:cstheme="minorHAnsi"/>
              </w:rPr>
              <w:t>2010</w:t>
            </w:r>
          </w:p>
        </w:tc>
        <w:tc>
          <w:tcPr>
            <w:tcW w:w="1535" w:type="dxa"/>
            <w:noWrap/>
          </w:tcPr>
          <w:p w14:paraId="0937ED8A" w14:textId="6E92C6CF"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749</w:t>
            </w:r>
          </w:p>
        </w:tc>
        <w:tc>
          <w:tcPr>
            <w:tcW w:w="1535" w:type="dxa"/>
          </w:tcPr>
          <w:p w14:paraId="41A07224" w14:textId="6AE480EC"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2,907</w:t>
            </w:r>
          </w:p>
        </w:tc>
        <w:tc>
          <w:tcPr>
            <w:tcW w:w="1535" w:type="dxa"/>
          </w:tcPr>
          <w:p w14:paraId="4347B2F5" w14:textId="449C6A02"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3,470</w:t>
            </w:r>
          </w:p>
        </w:tc>
        <w:tc>
          <w:tcPr>
            <w:tcW w:w="1535" w:type="dxa"/>
          </w:tcPr>
          <w:p w14:paraId="30A93FB7" w14:textId="50D83D45"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3,594</w:t>
            </w:r>
          </w:p>
        </w:tc>
        <w:tc>
          <w:tcPr>
            <w:tcW w:w="1535" w:type="dxa"/>
          </w:tcPr>
          <w:p w14:paraId="67FE19BB" w14:textId="07DA3072"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804F3D">
              <w:rPr>
                <w:rFonts w:cstheme="minorHAnsi"/>
                <w:b/>
                <w:bCs/>
              </w:rPr>
              <w:t>10,720</w:t>
            </w:r>
          </w:p>
        </w:tc>
      </w:tr>
      <w:tr w:rsidR="002335A3" w:rsidRPr="00804F3D" w14:paraId="2FB8E436" w14:textId="77777777" w:rsidTr="002335A3">
        <w:trPr>
          <w:trHeight w:val="284"/>
        </w:trPr>
        <w:tc>
          <w:tcPr>
            <w:cnfStyle w:val="001000000000" w:firstRow="0" w:lastRow="0" w:firstColumn="1" w:lastColumn="0" w:oddVBand="0" w:evenVBand="0" w:oddHBand="0" w:evenHBand="0" w:firstRowFirstColumn="0" w:firstRowLastColumn="0" w:lastRowFirstColumn="0" w:lastRowLastColumn="0"/>
            <w:tcW w:w="1534" w:type="dxa"/>
            <w:noWrap/>
          </w:tcPr>
          <w:p w14:paraId="64B2B969" w14:textId="28EF4C79" w:rsidR="00DC75D2" w:rsidRPr="00804F3D" w:rsidRDefault="00DC75D2" w:rsidP="00DC75D2">
            <w:pPr>
              <w:rPr>
                <w:rFonts w:cstheme="minorHAnsi"/>
                <w:lang w:eastAsia="en-GB"/>
              </w:rPr>
            </w:pPr>
            <w:r w:rsidRPr="00804F3D">
              <w:rPr>
                <w:rFonts w:cstheme="minorHAnsi"/>
              </w:rPr>
              <w:t>2011</w:t>
            </w:r>
          </w:p>
        </w:tc>
        <w:tc>
          <w:tcPr>
            <w:tcW w:w="1535" w:type="dxa"/>
            <w:noWrap/>
          </w:tcPr>
          <w:p w14:paraId="377FD7DF" w14:textId="703F76B2"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927</w:t>
            </w:r>
          </w:p>
        </w:tc>
        <w:tc>
          <w:tcPr>
            <w:tcW w:w="1535" w:type="dxa"/>
          </w:tcPr>
          <w:p w14:paraId="3E8960FA" w14:textId="6100249B"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3,276</w:t>
            </w:r>
          </w:p>
        </w:tc>
        <w:tc>
          <w:tcPr>
            <w:tcW w:w="1535" w:type="dxa"/>
          </w:tcPr>
          <w:p w14:paraId="375A1DEE" w14:textId="72F29EAC"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3,595</w:t>
            </w:r>
          </w:p>
        </w:tc>
        <w:tc>
          <w:tcPr>
            <w:tcW w:w="1535" w:type="dxa"/>
          </w:tcPr>
          <w:p w14:paraId="173AF567" w14:textId="770DB86A"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3,509</w:t>
            </w:r>
          </w:p>
        </w:tc>
        <w:tc>
          <w:tcPr>
            <w:tcW w:w="1535" w:type="dxa"/>
          </w:tcPr>
          <w:p w14:paraId="4BE51DE6" w14:textId="1E31E813"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804F3D">
              <w:rPr>
                <w:rFonts w:cstheme="minorHAnsi"/>
                <w:b/>
                <w:bCs/>
              </w:rPr>
              <w:t>11,307</w:t>
            </w:r>
          </w:p>
        </w:tc>
      </w:tr>
      <w:tr w:rsidR="002335A3" w:rsidRPr="00804F3D" w14:paraId="34001567" w14:textId="77777777" w:rsidTr="002335A3">
        <w:trPr>
          <w:trHeight w:val="284"/>
        </w:trPr>
        <w:tc>
          <w:tcPr>
            <w:cnfStyle w:val="001000000000" w:firstRow="0" w:lastRow="0" w:firstColumn="1" w:lastColumn="0" w:oddVBand="0" w:evenVBand="0" w:oddHBand="0" w:evenHBand="0" w:firstRowFirstColumn="0" w:firstRowLastColumn="0" w:lastRowFirstColumn="0" w:lastRowLastColumn="0"/>
            <w:tcW w:w="1534" w:type="dxa"/>
            <w:noWrap/>
          </w:tcPr>
          <w:p w14:paraId="067E913A" w14:textId="0753BFB4" w:rsidR="00DC75D2" w:rsidRPr="00804F3D" w:rsidRDefault="00DC75D2" w:rsidP="00DC75D2">
            <w:pPr>
              <w:rPr>
                <w:rFonts w:cstheme="minorHAnsi"/>
                <w:lang w:eastAsia="en-GB"/>
              </w:rPr>
            </w:pPr>
            <w:r w:rsidRPr="00804F3D">
              <w:rPr>
                <w:rFonts w:cstheme="minorHAnsi"/>
              </w:rPr>
              <w:t>2012</w:t>
            </w:r>
          </w:p>
        </w:tc>
        <w:tc>
          <w:tcPr>
            <w:tcW w:w="1535" w:type="dxa"/>
            <w:noWrap/>
          </w:tcPr>
          <w:p w14:paraId="4096081B" w14:textId="6630E5B1"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1,053</w:t>
            </w:r>
          </w:p>
        </w:tc>
        <w:tc>
          <w:tcPr>
            <w:tcW w:w="1535" w:type="dxa"/>
          </w:tcPr>
          <w:p w14:paraId="56C1C9D3" w14:textId="015420E9"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4,134</w:t>
            </w:r>
          </w:p>
        </w:tc>
        <w:tc>
          <w:tcPr>
            <w:tcW w:w="1535" w:type="dxa"/>
          </w:tcPr>
          <w:p w14:paraId="63689192" w14:textId="115715C5"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4,224</w:t>
            </w:r>
          </w:p>
        </w:tc>
        <w:tc>
          <w:tcPr>
            <w:tcW w:w="1535" w:type="dxa"/>
          </w:tcPr>
          <w:p w14:paraId="3DA579C9" w14:textId="503BBF6C"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4,220</w:t>
            </w:r>
          </w:p>
        </w:tc>
        <w:tc>
          <w:tcPr>
            <w:tcW w:w="1535" w:type="dxa"/>
          </w:tcPr>
          <w:p w14:paraId="103DF581" w14:textId="6167B4DB"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804F3D">
              <w:rPr>
                <w:rFonts w:cstheme="minorHAnsi"/>
                <w:b/>
                <w:bCs/>
              </w:rPr>
              <w:t>13,631</w:t>
            </w:r>
          </w:p>
        </w:tc>
      </w:tr>
      <w:tr w:rsidR="002335A3" w:rsidRPr="00804F3D" w14:paraId="10575A16" w14:textId="77777777" w:rsidTr="002335A3">
        <w:trPr>
          <w:trHeight w:val="284"/>
        </w:trPr>
        <w:tc>
          <w:tcPr>
            <w:cnfStyle w:val="001000000000" w:firstRow="0" w:lastRow="0" w:firstColumn="1" w:lastColumn="0" w:oddVBand="0" w:evenVBand="0" w:oddHBand="0" w:evenHBand="0" w:firstRowFirstColumn="0" w:firstRowLastColumn="0" w:lastRowFirstColumn="0" w:lastRowLastColumn="0"/>
            <w:tcW w:w="1534" w:type="dxa"/>
            <w:noWrap/>
          </w:tcPr>
          <w:p w14:paraId="74AD9216" w14:textId="72F645EC" w:rsidR="00DC75D2" w:rsidRPr="00804F3D" w:rsidRDefault="00DC75D2" w:rsidP="00DC75D2">
            <w:pPr>
              <w:rPr>
                <w:rFonts w:cstheme="minorHAnsi"/>
                <w:lang w:eastAsia="en-GB"/>
              </w:rPr>
            </w:pPr>
            <w:r w:rsidRPr="00804F3D">
              <w:rPr>
                <w:rFonts w:cstheme="minorHAnsi"/>
              </w:rPr>
              <w:t>2013</w:t>
            </w:r>
          </w:p>
        </w:tc>
        <w:tc>
          <w:tcPr>
            <w:tcW w:w="1535" w:type="dxa"/>
            <w:noWrap/>
          </w:tcPr>
          <w:p w14:paraId="41CA4556" w14:textId="19F51BC1"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1,283</w:t>
            </w:r>
          </w:p>
        </w:tc>
        <w:tc>
          <w:tcPr>
            <w:tcW w:w="1535" w:type="dxa"/>
          </w:tcPr>
          <w:p w14:paraId="07D2CB16" w14:textId="2290C4C7"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5,159</w:t>
            </w:r>
          </w:p>
        </w:tc>
        <w:tc>
          <w:tcPr>
            <w:tcW w:w="1535" w:type="dxa"/>
          </w:tcPr>
          <w:p w14:paraId="3CC5D279" w14:textId="0EC0524E"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5,120</w:t>
            </w:r>
          </w:p>
        </w:tc>
        <w:tc>
          <w:tcPr>
            <w:tcW w:w="1535" w:type="dxa"/>
          </w:tcPr>
          <w:p w14:paraId="0C2850BD" w14:textId="507B1F49"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5,024</w:t>
            </w:r>
          </w:p>
        </w:tc>
        <w:tc>
          <w:tcPr>
            <w:tcW w:w="1535" w:type="dxa"/>
          </w:tcPr>
          <w:p w14:paraId="01AE21E7" w14:textId="3534C979"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804F3D">
              <w:rPr>
                <w:rFonts w:cstheme="minorHAnsi"/>
                <w:b/>
                <w:bCs/>
              </w:rPr>
              <w:t>16,586</w:t>
            </w:r>
          </w:p>
        </w:tc>
      </w:tr>
      <w:tr w:rsidR="002335A3" w:rsidRPr="00804F3D" w14:paraId="59809986" w14:textId="77777777" w:rsidTr="002335A3">
        <w:trPr>
          <w:trHeight w:val="284"/>
        </w:trPr>
        <w:tc>
          <w:tcPr>
            <w:cnfStyle w:val="001000000000" w:firstRow="0" w:lastRow="0" w:firstColumn="1" w:lastColumn="0" w:oddVBand="0" w:evenVBand="0" w:oddHBand="0" w:evenHBand="0" w:firstRowFirstColumn="0" w:firstRowLastColumn="0" w:lastRowFirstColumn="0" w:lastRowLastColumn="0"/>
            <w:tcW w:w="1534" w:type="dxa"/>
            <w:noWrap/>
          </w:tcPr>
          <w:p w14:paraId="19E7806B" w14:textId="65341728" w:rsidR="00DC75D2" w:rsidRPr="00804F3D" w:rsidRDefault="00DC75D2" w:rsidP="00DC75D2">
            <w:pPr>
              <w:rPr>
                <w:rFonts w:cstheme="minorHAnsi"/>
                <w:lang w:eastAsia="en-GB"/>
              </w:rPr>
            </w:pPr>
            <w:r w:rsidRPr="00804F3D">
              <w:rPr>
                <w:rFonts w:cstheme="minorHAnsi"/>
              </w:rPr>
              <w:t>2014</w:t>
            </w:r>
          </w:p>
        </w:tc>
        <w:tc>
          <w:tcPr>
            <w:tcW w:w="1535" w:type="dxa"/>
            <w:noWrap/>
          </w:tcPr>
          <w:p w14:paraId="613635C0" w14:textId="437FCF8D"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1,697</w:t>
            </w:r>
          </w:p>
        </w:tc>
        <w:tc>
          <w:tcPr>
            <w:tcW w:w="1535" w:type="dxa"/>
          </w:tcPr>
          <w:p w14:paraId="77B8FF62" w14:textId="4C7A1D22"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6,744</w:t>
            </w:r>
          </w:p>
        </w:tc>
        <w:tc>
          <w:tcPr>
            <w:tcW w:w="1535" w:type="dxa"/>
          </w:tcPr>
          <w:p w14:paraId="0F2A3D61" w14:textId="70BAB960"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6,640</w:t>
            </w:r>
          </w:p>
        </w:tc>
        <w:tc>
          <w:tcPr>
            <w:tcW w:w="1535" w:type="dxa"/>
          </w:tcPr>
          <w:p w14:paraId="62815F91" w14:textId="6766BA49"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6,160</w:t>
            </w:r>
          </w:p>
        </w:tc>
        <w:tc>
          <w:tcPr>
            <w:tcW w:w="1535" w:type="dxa"/>
          </w:tcPr>
          <w:p w14:paraId="183C39C3" w14:textId="4B60FCCE"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804F3D">
              <w:rPr>
                <w:rFonts w:cstheme="minorHAnsi"/>
                <w:b/>
                <w:bCs/>
              </w:rPr>
              <w:t>21,241</w:t>
            </w:r>
          </w:p>
        </w:tc>
      </w:tr>
      <w:tr w:rsidR="002335A3" w:rsidRPr="00804F3D" w14:paraId="77089831" w14:textId="77777777" w:rsidTr="002335A3">
        <w:trPr>
          <w:trHeight w:val="284"/>
        </w:trPr>
        <w:tc>
          <w:tcPr>
            <w:cnfStyle w:val="001000000000" w:firstRow="0" w:lastRow="0" w:firstColumn="1" w:lastColumn="0" w:oddVBand="0" w:evenVBand="0" w:oddHBand="0" w:evenHBand="0" w:firstRowFirstColumn="0" w:firstRowLastColumn="0" w:lastRowFirstColumn="0" w:lastRowLastColumn="0"/>
            <w:tcW w:w="1534" w:type="dxa"/>
            <w:noWrap/>
          </w:tcPr>
          <w:p w14:paraId="3D797EA0" w14:textId="77777777" w:rsidR="00DC75D2" w:rsidRPr="00804F3D" w:rsidRDefault="00DC75D2" w:rsidP="00DC75D2">
            <w:pPr>
              <w:rPr>
                <w:rFonts w:cstheme="minorHAnsi"/>
                <w:bCs w:val="0"/>
                <w:lang w:eastAsia="en-GB"/>
              </w:rPr>
            </w:pPr>
            <w:r w:rsidRPr="00804F3D">
              <w:rPr>
                <w:rFonts w:cstheme="minorHAnsi"/>
                <w:bCs w:val="0"/>
                <w:lang w:eastAsia="en-GB"/>
              </w:rPr>
              <w:t>2015</w:t>
            </w:r>
          </w:p>
        </w:tc>
        <w:tc>
          <w:tcPr>
            <w:tcW w:w="1535" w:type="dxa"/>
            <w:noWrap/>
          </w:tcPr>
          <w:p w14:paraId="78FBA81F" w14:textId="43C13B93"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1,753</w:t>
            </w:r>
          </w:p>
        </w:tc>
        <w:tc>
          <w:tcPr>
            <w:tcW w:w="1535" w:type="dxa"/>
          </w:tcPr>
          <w:p w14:paraId="696DB1F5" w14:textId="0199CCCA"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6,788</w:t>
            </w:r>
          </w:p>
        </w:tc>
        <w:tc>
          <w:tcPr>
            <w:tcW w:w="1535" w:type="dxa"/>
          </w:tcPr>
          <w:p w14:paraId="3050F838" w14:textId="5C4D49B7"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7,191</w:t>
            </w:r>
          </w:p>
        </w:tc>
        <w:tc>
          <w:tcPr>
            <w:tcW w:w="1535" w:type="dxa"/>
          </w:tcPr>
          <w:p w14:paraId="2D4F4B9F" w14:textId="7211F828"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6,191</w:t>
            </w:r>
          </w:p>
        </w:tc>
        <w:tc>
          <w:tcPr>
            <w:tcW w:w="1535" w:type="dxa"/>
          </w:tcPr>
          <w:p w14:paraId="5614CCFB" w14:textId="1EB1FF26"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804F3D">
              <w:rPr>
                <w:rFonts w:cstheme="minorHAnsi"/>
                <w:b/>
                <w:bCs/>
              </w:rPr>
              <w:t>21,923</w:t>
            </w:r>
          </w:p>
        </w:tc>
      </w:tr>
      <w:tr w:rsidR="002335A3" w:rsidRPr="00804F3D" w14:paraId="3FA2F580" w14:textId="77777777" w:rsidTr="002335A3">
        <w:trPr>
          <w:trHeight w:val="284"/>
        </w:trPr>
        <w:tc>
          <w:tcPr>
            <w:cnfStyle w:val="001000000000" w:firstRow="0" w:lastRow="0" w:firstColumn="1" w:lastColumn="0" w:oddVBand="0" w:evenVBand="0" w:oddHBand="0" w:evenHBand="0" w:firstRowFirstColumn="0" w:firstRowLastColumn="0" w:lastRowFirstColumn="0" w:lastRowLastColumn="0"/>
            <w:tcW w:w="1534" w:type="dxa"/>
            <w:noWrap/>
          </w:tcPr>
          <w:p w14:paraId="1FC375EE" w14:textId="77777777" w:rsidR="00DC75D2" w:rsidRPr="00804F3D" w:rsidRDefault="00DC75D2" w:rsidP="00DC75D2">
            <w:pPr>
              <w:rPr>
                <w:rFonts w:cstheme="minorHAnsi"/>
                <w:bCs w:val="0"/>
                <w:lang w:eastAsia="en-GB"/>
              </w:rPr>
            </w:pPr>
            <w:r w:rsidRPr="00804F3D">
              <w:rPr>
                <w:rFonts w:cstheme="minorHAnsi"/>
                <w:bCs w:val="0"/>
                <w:lang w:eastAsia="en-GB"/>
              </w:rPr>
              <w:t xml:space="preserve">2016 </w:t>
            </w:r>
          </w:p>
        </w:tc>
        <w:tc>
          <w:tcPr>
            <w:tcW w:w="1535" w:type="dxa"/>
            <w:noWrap/>
          </w:tcPr>
          <w:p w14:paraId="288FF51E" w14:textId="7415724B"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1,879</w:t>
            </w:r>
          </w:p>
        </w:tc>
        <w:tc>
          <w:tcPr>
            <w:tcW w:w="1535" w:type="dxa"/>
          </w:tcPr>
          <w:p w14:paraId="35BB4894" w14:textId="1317A2AB"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7,065</w:t>
            </w:r>
          </w:p>
        </w:tc>
        <w:tc>
          <w:tcPr>
            <w:tcW w:w="1535" w:type="dxa"/>
          </w:tcPr>
          <w:p w14:paraId="6CDC36F2" w14:textId="794778B2"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7,747</w:t>
            </w:r>
          </w:p>
        </w:tc>
        <w:tc>
          <w:tcPr>
            <w:tcW w:w="1535" w:type="dxa"/>
          </w:tcPr>
          <w:p w14:paraId="5734D24E" w14:textId="5F8D1923"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6,411</w:t>
            </w:r>
          </w:p>
        </w:tc>
        <w:tc>
          <w:tcPr>
            <w:tcW w:w="1535" w:type="dxa"/>
          </w:tcPr>
          <w:p w14:paraId="2074E5DC" w14:textId="7AE6B6B5"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804F3D">
              <w:rPr>
                <w:rFonts w:cstheme="minorHAnsi"/>
                <w:b/>
                <w:bCs/>
              </w:rPr>
              <w:t>23,102</w:t>
            </w:r>
          </w:p>
        </w:tc>
      </w:tr>
      <w:tr w:rsidR="002335A3" w:rsidRPr="00804F3D" w14:paraId="16D30504" w14:textId="77777777" w:rsidTr="002335A3">
        <w:trPr>
          <w:trHeight w:val="284"/>
        </w:trPr>
        <w:tc>
          <w:tcPr>
            <w:cnfStyle w:val="001000000000" w:firstRow="0" w:lastRow="0" w:firstColumn="1" w:lastColumn="0" w:oddVBand="0" w:evenVBand="0" w:oddHBand="0" w:evenHBand="0" w:firstRowFirstColumn="0" w:firstRowLastColumn="0" w:lastRowFirstColumn="0" w:lastRowLastColumn="0"/>
            <w:tcW w:w="1534" w:type="dxa"/>
            <w:noWrap/>
          </w:tcPr>
          <w:p w14:paraId="69B0FB66" w14:textId="77777777" w:rsidR="00DC75D2" w:rsidRPr="00804F3D" w:rsidRDefault="00DC75D2" w:rsidP="00DC75D2">
            <w:pPr>
              <w:rPr>
                <w:rFonts w:cstheme="minorHAnsi"/>
                <w:bCs w:val="0"/>
                <w:lang w:eastAsia="en-GB"/>
              </w:rPr>
            </w:pPr>
            <w:r w:rsidRPr="00804F3D">
              <w:rPr>
                <w:rFonts w:cstheme="minorHAnsi"/>
                <w:bCs w:val="0"/>
                <w:lang w:eastAsia="en-GB"/>
              </w:rPr>
              <w:t xml:space="preserve">2017 </w:t>
            </w:r>
          </w:p>
        </w:tc>
        <w:tc>
          <w:tcPr>
            <w:tcW w:w="1535" w:type="dxa"/>
            <w:noWrap/>
          </w:tcPr>
          <w:p w14:paraId="45A97855" w14:textId="0B7FCAB7"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1,949</w:t>
            </w:r>
          </w:p>
        </w:tc>
        <w:tc>
          <w:tcPr>
            <w:tcW w:w="1535" w:type="dxa"/>
          </w:tcPr>
          <w:p w14:paraId="117A2D86" w14:textId="0565C831"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7,423</w:t>
            </w:r>
          </w:p>
        </w:tc>
        <w:tc>
          <w:tcPr>
            <w:tcW w:w="1535" w:type="dxa"/>
          </w:tcPr>
          <w:p w14:paraId="17311C96" w14:textId="076D9B9F"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8,590</w:t>
            </w:r>
          </w:p>
        </w:tc>
        <w:tc>
          <w:tcPr>
            <w:tcW w:w="1535" w:type="dxa"/>
          </w:tcPr>
          <w:p w14:paraId="52227517" w14:textId="472DC77D"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6,720</w:t>
            </w:r>
          </w:p>
        </w:tc>
        <w:tc>
          <w:tcPr>
            <w:tcW w:w="1535" w:type="dxa"/>
          </w:tcPr>
          <w:p w14:paraId="0EF2E1F4" w14:textId="4F5B73F8"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804F3D">
              <w:rPr>
                <w:rFonts w:cstheme="minorHAnsi"/>
                <w:b/>
                <w:bCs/>
              </w:rPr>
              <w:t>24,682</w:t>
            </w:r>
          </w:p>
        </w:tc>
      </w:tr>
      <w:tr w:rsidR="002335A3" w:rsidRPr="00804F3D" w14:paraId="72C6A6DE" w14:textId="77777777" w:rsidTr="002335A3">
        <w:trPr>
          <w:trHeight w:val="284"/>
        </w:trPr>
        <w:tc>
          <w:tcPr>
            <w:cnfStyle w:val="001000000000" w:firstRow="0" w:lastRow="0" w:firstColumn="1" w:lastColumn="0" w:oddVBand="0" w:evenVBand="0" w:oddHBand="0" w:evenHBand="0" w:firstRowFirstColumn="0" w:firstRowLastColumn="0" w:lastRowFirstColumn="0" w:lastRowLastColumn="0"/>
            <w:tcW w:w="1534" w:type="dxa"/>
            <w:noWrap/>
          </w:tcPr>
          <w:p w14:paraId="387426D9" w14:textId="77777777" w:rsidR="00DC75D2" w:rsidRPr="00804F3D" w:rsidRDefault="00DC75D2" w:rsidP="00DC75D2">
            <w:pPr>
              <w:rPr>
                <w:rFonts w:cstheme="minorHAnsi"/>
                <w:bCs w:val="0"/>
                <w:lang w:eastAsia="en-GB"/>
              </w:rPr>
            </w:pPr>
            <w:r w:rsidRPr="00804F3D">
              <w:rPr>
                <w:rFonts w:cstheme="minorHAnsi"/>
                <w:bCs w:val="0"/>
                <w:lang w:eastAsia="en-GB"/>
              </w:rPr>
              <w:t xml:space="preserve">2018 </w:t>
            </w:r>
          </w:p>
        </w:tc>
        <w:tc>
          <w:tcPr>
            <w:tcW w:w="1535" w:type="dxa"/>
            <w:noWrap/>
          </w:tcPr>
          <w:p w14:paraId="5B0315BE" w14:textId="0BE05DB4"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1,966</w:t>
            </w:r>
          </w:p>
        </w:tc>
        <w:tc>
          <w:tcPr>
            <w:tcW w:w="1535" w:type="dxa"/>
          </w:tcPr>
          <w:p w14:paraId="2065FBBB" w14:textId="3592FE18"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7,593</w:t>
            </w:r>
          </w:p>
        </w:tc>
        <w:tc>
          <w:tcPr>
            <w:tcW w:w="1535" w:type="dxa"/>
          </w:tcPr>
          <w:p w14:paraId="03770962" w14:textId="75DADB71"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8,700</w:t>
            </w:r>
          </w:p>
        </w:tc>
        <w:tc>
          <w:tcPr>
            <w:tcW w:w="1535" w:type="dxa"/>
          </w:tcPr>
          <w:p w14:paraId="08AF9CEB" w14:textId="667CC63A"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6,767</w:t>
            </w:r>
          </w:p>
        </w:tc>
        <w:tc>
          <w:tcPr>
            <w:tcW w:w="1535" w:type="dxa"/>
          </w:tcPr>
          <w:p w14:paraId="54238C35" w14:textId="74FD704E"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804F3D">
              <w:rPr>
                <w:rFonts w:cstheme="minorHAnsi"/>
                <w:b/>
                <w:bCs/>
              </w:rPr>
              <w:t>25,026</w:t>
            </w:r>
          </w:p>
        </w:tc>
      </w:tr>
      <w:tr w:rsidR="002335A3" w:rsidRPr="00804F3D" w14:paraId="639C26EA" w14:textId="77777777" w:rsidTr="002335A3">
        <w:trPr>
          <w:trHeight w:val="284"/>
        </w:trPr>
        <w:tc>
          <w:tcPr>
            <w:cnfStyle w:val="001000000000" w:firstRow="0" w:lastRow="0" w:firstColumn="1" w:lastColumn="0" w:oddVBand="0" w:evenVBand="0" w:oddHBand="0" w:evenHBand="0" w:firstRowFirstColumn="0" w:firstRowLastColumn="0" w:lastRowFirstColumn="0" w:lastRowLastColumn="0"/>
            <w:tcW w:w="1534" w:type="dxa"/>
            <w:noWrap/>
          </w:tcPr>
          <w:p w14:paraId="49FC75C7" w14:textId="77777777" w:rsidR="00DC75D2" w:rsidRPr="00804F3D" w:rsidRDefault="00DC75D2" w:rsidP="00DC75D2">
            <w:pPr>
              <w:rPr>
                <w:rFonts w:cstheme="minorHAnsi"/>
                <w:bCs w:val="0"/>
                <w:lang w:eastAsia="en-GB"/>
              </w:rPr>
            </w:pPr>
            <w:r w:rsidRPr="00804F3D">
              <w:rPr>
                <w:rFonts w:cstheme="minorHAnsi"/>
                <w:bCs w:val="0"/>
                <w:lang w:eastAsia="en-GB"/>
              </w:rPr>
              <w:t xml:space="preserve">2019 </w:t>
            </w:r>
          </w:p>
        </w:tc>
        <w:tc>
          <w:tcPr>
            <w:tcW w:w="1535" w:type="dxa"/>
            <w:noWrap/>
          </w:tcPr>
          <w:p w14:paraId="753F391E" w14:textId="21EF5670"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1,843</w:t>
            </w:r>
          </w:p>
        </w:tc>
        <w:tc>
          <w:tcPr>
            <w:tcW w:w="1535" w:type="dxa"/>
          </w:tcPr>
          <w:p w14:paraId="157F2E56" w14:textId="5B201ACF"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7,553</w:t>
            </w:r>
          </w:p>
        </w:tc>
        <w:tc>
          <w:tcPr>
            <w:tcW w:w="1535" w:type="dxa"/>
          </w:tcPr>
          <w:p w14:paraId="4B21453A" w14:textId="2683D002"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8,783</w:t>
            </w:r>
          </w:p>
        </w:tc>
        <w:tc>
          <w:tcPr>
            <w:tcW w:w="1535" w:type="dxa"/>
          </w:tcPr>
          <w:p w14:paraId="56698D72" w14:textId="1DE9C963"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6,757</w:t>
            </w:r>
          </w:p>
        </w:tc>
        <w:tc>
          <w:tcPr>
            <w:tcW w:w="1535" w:type="dxa"/>
          </w:tcPr>
          <w:p w14:paraId="2A644447" w14:textId="1BD4E3C5"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804F3D">
              <w:rPr>
                <w:rFonts w:cstheme="minorHAnsi"/>
                <w:b/>
                <w:bCs/>
              </w:rPr>
              <w:t>24,936</w:t>
            </w:r>
          </w:p>
        </w:tc>
      </w:tr>
      <w:tr w:rsidR="002335A3" w:rsidRPr="00804F3D" w14:paraId="0D240E87" w14:textId="77777777" w:rsidTr="002335A3">
        <w:trPr>
          <w:trHeight w:val="284"/>
        </w:trPr>
        <w:tc>
          <w:tcPr>
            <w:cnfStyle w:val="001000000000" w:firstRow="0" w:lastRow="0" w:firstColumn="1" w:lastColumn="0" w:oddVBand="0" w:evenVBand="0" w:oddHBand="0" w:evenHBand="0" w:firstRowFirstColumn="0" w:firstRowLastColumn="0" w:lastRowFirstColumn="0" w:lastRowLastColumn="0"/>
            <w:tcW w:w="1534" w:type="dxa"/>
            <w:noWrap/>
          </w:tcPr>
          <w:p w14:paraId="788DD804" w14:textId="77777777" w:rsidR="00DC75D2" w:rsidRPr="00804F3D" w:rsidRDefault="00DC75D2" w:rsidP="00DC75D2">
            <w:pPr>
              <w:rPr>
                <w:rFonts w:cstheme="minorHAnsi"/>
                <w:bCs w:val="0"/>
                <w:lang w:eastAsia="en-GB"/>
              </w:rPr>
            </w:pPr>
            <w:r w:rsidRPr="00804F3D">
              <w:rPr>
                <w:rFonts w:cstheme="minorHAnsi"/>
                <w:bCs w:val="0"/>
                <w:lang w:eastAsia="en-GB"/>
              </w:rPr>
              <w:t xml:space="preserve">2020 </w:t>
            </w:r>
          </w:p>
        </w:tc>
        <w:tc>
          <w:tcPr>
            <w:tcW w:w="1535" w:type="dxa"/>
            <w:noWrap/>
          </w:tcPr>
          <w:p w14:paraId="74A4F8B4" w14:textId="2469BBB3"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1,492</w:t>
            </w:r>
          </w:p>
        </w:tc>
        <w:tc>
          <w:tcPr>
            <w:tcW w:w="1535" w:type="dxa"/>
          </w:tcPr>
          <w:p w14:paraId="77E5F6EA" w14:textId="041EC8C2"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6,838</w:t>
            </w:r>
          </w:p>
        </w:tc>
        <w:tc>
          <w:tcPr>
            <w:tcW w:w="1535" w:type="dxa"/>
          </w:tcPr>
          <w:p w14:paraId="4C3E7401" w14:textId="5CDBDF60"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7,427</w:t>
            </w:r>
          </w:p>
        </w:tc>
        <w:tc>
          <w:tcPr>
            <w:tcW w:w="1535" w:type="dxa"/>
          </w:tcPr>
          <w:p w14:paraId="12F53417" w14:textId="20BDAD2A"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5,479</w:t>
            </w:r>
          </w:p>
        </w:tc>
        <w:tc>
          <w:tcPr>
            <w:tcW w:w="1535" w:type="dxa"/>
          </w:tcPr>
          <w:p w14:paraId="63DC1525" w14:textId="180963B0"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804F3D">
              <w:rPr>
                <w:rFonts w:cstheme="minorHAnsi"/>
                <w:b/>
                <w:bCs/>
              </w:rPr>
              <w:t>21,236</w:t>
            </w:r>
          </w:p>
        </w:tc>
      </w:tr>
      <w:tr w:rsidR="002335A3" w:rsidRPr="00804F3D" w14:paraId="789136DA" w14:textId="77777777" w:rsidTr="002335A3">
        <w:trPr>
          <w:trHeight w:val="284"/>
        </w:trPr>
        <w:tc>
          <w:tcPr>
            <w:cnfStyle w:val="001000000000" w:firstRow="0" w:lastRow="0" w:firstColumn="1" w:lastColumn="0" w:oddVBand="0" w:evenVBand="0" w:oddHBand="0" w:evenHBand="0" w:firstRowFirstColumn="0" w:firstRowLastColumn="0" w:lastRowFirstColumn="0" w:lastRowLastColumn="0"/>
            <w:tcW w:w="1534" w:type="dxa"/>
            <w:noWrap/>
          </w:tcPr>
          <w:p w14:paraId="3B4DFB9A" w14:textId="77777777" w:rsidR="00DC75D2" w:rsidRPr="00804F3D" w:rsidRDefault="00DC75D2" w:rsidP="00DC75D2">
            <w:pPr>
              <w:rPr>
                <w:rFonts w:cstheme="minorHAnsi"/>
                <w:bCs w:val="0"/>
                <w:lang w:eastAsia="en-GB"/>
              </w:rPr>
            </w:pPr>
            <w:r w:rsidRPr="00804F3D">
              <w:rPr>
                <w:rFonts w:cstheme="minorHAnsi"/>
                <w:bCs w:val="0"/>
                <w:lang w:eastAsia="en-GB"/>
              </w:rPr>
              <w:t xml:space="preserve">2021 </w:t>
            </w:r>
          </w:p>
        </w:tc>
        <w:tc>
          <w:tcPr>
            <w:tcW w:w="1535" w:type="dxa"/>
            <w:noWrap/>
          </w:tcPr>
          <w:p w14:paraId="39BA2361" w14:textId="73C965CF"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2,382</w:t>
            </w:r>
          </w:p>
        </w:tc>
        <w:tc>
          <w:tcPr>
            <w:tcW w:w="1535" w:type="dxa"/>
          </w:tcPr>
          <w:p w14:paraId="34EC1150" w14:textId="75756B94"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9,496</w:t>
            </w:r>
          </w:p>
        </w:tc>
        <w:tc>
          <w:tcPr>
            <w:tcW w:w="1535" w:type="dxa"/>
          </w:tcPr>
          <w:p w14:paraId="5F60F211" w14:textId="6ADD9A2F"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10,474</w:t>
            </w:r>
          </w:p>
        </w:tc>
        <w:tc>
          <w:tcPr>
            <w:tcW w:w="1535" w:type="dxa"/>
          </w:tcPr>
          <w:p w14:paraId="2533655F" w14:textId="52A60AA4"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8,393</w:t>
            </w:r>
          </w:p>
        </w:tc>
        <w:tc>
          <w:tcPr>
            <w:tcW w:w="1535" w:type="dxa"/>
          </w:tcPr>
          <w:p w14:paraId="3FC4B644" w14:textId="779A56E8"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804F3D">
              <w:rPr>
                <w:rFonts w:cstheme="minorHAnsi"/>
                <w:b/>
                <w:bCs/>
              </w:rPr>
              <w:t>30,745</w:t>
            </w:r>
          </w:p>
        </w:tc>
      </w:tr>
      <w:tr w:rsidR="002335A3" w:rsidRPr="00804F3D" w14:paraId="61948465" w14:textId="77777777" w:rsidTr="002335A3">
        <w:trPr>
          <w:trHeight w:val="284"/>
        </w:trPr>
        <w:tc>
          <w:tcPr>
            <w:cnfStyle w:val="001000000000" w:firstRow="0" w:lastRow="0" w:firstColumn="1" w:lastColumn="0" w:oddVBand="0" w:evenVBand="0" w:oddHBand="0" w:evenHBand="0" w:firstRowFirstColumn="0" w:firstRowLastColumn="0" w:lastRowFirstColumn="0" w:lastRowLastColumn="0"/>
            <w:tcW w:w="1534" w:type="dxa"/>
            <w:noWrap/>
          </w:tcPr>
          <w:p w14:paraId="75F23577" w14:textId="77777777" w:rsidR="00DC75D2" w:rsidRPr="00804F3D" w:rsidRDefault="00DC75D2" w:rsidP="00DC75D2">
            <w:pPr>
              <w:rPr>
                <w:rFonts w:cstheme="minorHAnsi"/>
                <w:bCs w:val="0"/>
                <w:lang w:eastAsia="en-GB"/>
              </w:rPr>
            </w:pPr>
            <w:r w:rsidRPr="00804F3D">
              <w:rPr>
                <w:rFonts w:cstheme="minorHAnsi"/>
                <w:bCs w:val="0"/>
                <w:lang w:eastAsia="en-GB"/>
              </w:rPr>
              <w:t xml:space="preserve">2022 </w:t>
            </w:r>
          </w:p>
        </w:tc>
        <w:tc>
          <w:tcPr>
            <w:tcW w:w="1535" w:type="dxa"/>
            <w:noWrap/>
          </w:tcPr>
          <w:p w14:paraId="67FA0233" w14:textId="1753F42D"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2,215</w:t>
            </w:r>
          </w:p>
        </w:tc>
        <w:tc>
          <w:tcPr>
            <w:tcW w:w="1535" w:type="dxa"/>
          </w:tcPr>
          <w:p w14:paraId="7D3354FC" w14:textId="2F586B90"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7,108</w:t>
            </w:r>
          </w:p>
        </w:tc>
        <w:tc>
          <w:tcPr>
            <w:tcW w:w="1535" w:type="dxa"/>
          </w:tcPr>
          <w:p w14:paraId="35504E6B" w14:textId="5925FBEE"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8,037</w:t>
            </w:r>
          </w:p>
        </w:tc>
        <w:tc>
          <w:tcPr>
            <w:tcW w:w="1535" w:type="dxa"/>
          </w:tcPr>
          <w:p w14:paraId="64DD36E9" w14:textId="7C746E06"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7,939</w:t>
            </w:r>
          </w:p>
        </w:tc>
        <w:tc>
          <w:tcPr>
            <w:tcW w:w="1535" w:type="dxa"/>
          </w:tcPr>
          <w:p w14:paraId="159072E5" w14:textId="3AB65256"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804F3D">
              <w:rPr>
                <w:rFonts w:cstheme="minorHAnsi"/>
                <w:b/>
                <w:bCs/>
              </w:rPr>
              <w:t>25,299</w:t>
            </w:r>
          </w:p>
        </w:tc>
      </w:tr>
      <w:tr w:rsidR="002335A3" w:rsidRPr="00804F3D" w14:paraId="1B309BAC" w14:textId="77777777" w:rsidTr="002335A3">
        <w:trPr>
          <w:trHeight w:val="284"/>
        </w:trPr>
        <w:tc>
          <w:tcPr>
            <w:cnfStyle w:val="001000000000" w:firstRow="0" w:lastRow="0" w:firstColumn="1" w:lastColumn="0" w:oddVBand="0" w:evenVBand="0" w:oddHBand="0" w:evenHBand="0" w:firstRowFirstColumn="0" w:firstRowLastColumn="0" w:lastRowFirstColumn="0" w:lastRowLastColumn="0"/>
            <w:tcW w:w="1534" w:type="dxa"/>
            <w:noWrap/>
          </w:tcPr>
          <w:p w14:paraId="5861C5B8" w14:textId="014A6576" w:rsidR="00DC75D2" w:rsidRPr="00804F3D" w:rsidRDefault="00DC75D2" w:rsidP="00DC75D2">
            <w:pPr>
              <w:rPr>
                <w:rFonts w:cstheme="minorHAnsi"/>
                <w:bCs w:val="0"/>
                <w:lang w:eastAsia="en-GB"/>
              </w:rPr>
            </w:pPr>
            <w:r w:rsidRPr="00804F3D">
              <w:rPr>
                <w:rFonts w:cstheme="minorHAnsi"/>
                <w:bCs w:val="0"/>
                <w:lang w:eastAsia="en-GB"/>
              </w:rPr>
              <w:t>2023</w:t>
            </w:r>
          </w:p>
        </w:tc>
        <w:tc>
          <w:tcPr>
            <w:tcW w:w="1535" w:type="dxa"/>
            <w:noWrap/>
          </w:tcPr>
          <w:p w14:paraId="39EB1463" w14:textId="2689E96A"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1,915</w:t>
            </w:r>
          </w:p>
        </w:tc>
        <w:tc>
          <w:tcPr>
            <w:tcW w:w="1535" w:type="dxa"/>
          </w:tcPr>
          <w:p w14:paraId="0A79ED10" w14:textId="2229EBBB"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6,218</w:t>
            </w:r>
          </w:p>
        </w:tc>
        <w:tc>
          <w:tcPr>
            <w:tcW w:w="1535" w:type="dxa"/>
          </w:tcPr>
          <w:p w14:paraId="02884327" w14:textId="22135FCC"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7,160</w:t>
            </w:r>
          </w:p>
        </w:tc>
        <w:tc>
          <w:tcPr>
            <w:tcW w:w="1535" w:type="dxa"/>
          </w:tcPr>
          <w:p w14:paraId="4084D575" w14:textId="57C7D943"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04F3D">
              <w:rPr>
                <w:rFonts w:cstheme="minorHAnsi"/>
              </w:rPr>
              <w:t>6,337</w:t>
            </w:r>
          </w:p>
        </w:tc>
        <w:tc>
          <w:tcPr>
            <w:tcW w:w="1535" w:type="dxa"/>
          </w:tcPr>
          <w:p w14:paraId="42FDBC61" w14:textId="3D130F2C" w:rsidR="00DC75D2" w:rsidRPr="00804F3D" w:rsidRDefault="00DC75D2" w:rsidP="00804F3D">
            <w:pPr>
              <w:jc w:val="center"/>
              <w:cnfStyle w:val="000000000000" w:firstRow="0" w:lastRow="0" w:firstColumn="0" w:lastColumn="0" w:oddVBand="0" w:evenVBand="0" w:oddHBand="0" w:evenHBand="0" w:firstRowFirstColumn="0" w:firstRowLastColumn="0" w:lastRowFirstColumn="0" w:lastRowLastColumn="0"/>
              <w:rPr>
                <w:rFonts w:cstheme="minorHAnsi"/>
                <w:b/>
                <w:bCs/>
              </w:rPr>
            </w:pPr>
            <w:bookmarkStart w:id="0" w:name="RANGE!G21"/>
            <w:r w:rsidRPr="00804F3D">
              <w:rPr>
                <w:rFonts w:cstheme="minorHAnsi"/>
                <w:b/>
                <w:bCs/>
                <w:color w:val="467886"/>
                <w:u w:val="single"/>
              </w:rPr>
              <w:t>21,630</w:t>
            </w:r>
            <w:bookmarkEnd w:id="0"/>
            <w:r w:rsidRPr="00804F3D">
              <w:rPr>
                <w:rStyle w:val="FootnoteReference"/>
                <w:rFonts w:cstheme="minorHAnsi"/>
                <w:b/>
                <w:bCs/>
                <w:color w:val="467886"/>
                <w:u w:val="single"/>
              </w:rPr>
              <w:footnoteReference w:id="5"/>
            </w:r>
          </w:p>
        </w:tc>
      </w:tr>
    </w:tbl>
    <w:p w14:paraId="19A8024B" w14:textId="2A8CC3BC" w:rsidR="002C715B" w:rsidRPr="001C72D8" w:rsidRDefault="003B697F" w:rsidP="00575048">
      <w:pPr>
        <w:rPr>
          <w:sz w:val="20"/>
          <w:szCs w:val="20"/>
        </w:rPr>
      </w:pPr>
      <w:r w:rsidRPr="001C72D8">
        <w:rPr>
          <w:i/>
          <w:sz w:val="20"/>
          <w:szCs w:val="20"/>
        </w:rPr>
        <w:t xml:space="preserve">Table 3: Number of verified residential property sales </w:t>
      </w:r>
      <w:r w:rsidR="0057073C" w:rsidRPr="001C72D8">
        <w:rPr>
          <w:i/>
          <w:sz w:val="20"/>
          <w:szCs w:val="20"/>
        </w:rPr>
        <w:t>in Northern Ireland 2015 to 202</w:t>
      </w:r>
      <w:r w:rsidR="00456E1A">
        <w:rPr>
          <w:i/>
          <w:sz w:val="20"/>
          <w:szCs w:val="20"/>
        </w:rPr>
        <w:t>3</w:t>
      </w:r>
      <w:r w:rsidRPr="001C72D8">
        <w:rPr>
          <w:i/>
          <w:sz w:val="20"/>
          <w:szCs w:val="20"/>
        </w:rPr>
        <w:t>. Source: Land and Property Services, NISRA.</w:t>
      </w:r>
    </w:p>
    <w:p w14:paraId="5D6CA46D" w14:textId="77777777" w:rsidR="00575048" w:rsidRPr="001C72D8" w:rsidRDefault="00575048" w:rsidP="00575048">
      <w:pPr>
        <w:rPr>
          <w:sz w:val="20"/>
        </w:rPr>
      </w:pPr>
      <w:r w:rsidRPr="001C72D8">
        <w:t>Further inf</w:t>
      </w:r>
      <w:r w:rsidRPr="001C72D8">
        <w:rPr>
          <w:sz w:val="20"/>
        </w:rPr>
        <w:t>ormation on residential property prices and sales can be found via the following link:</w:t>
      </w:r>
    </w:p>
    <w:p w14:paraId="2BECD7BE" w14:textId="77777777" w:rsidR="00575048" w:rsidRPr="00613D15" w:rsidRDefault="00575048" w:rsidP="00575048">
      <w:pPr>
        <w:rPr>
          <w:sz w:val="18"/>
          <w:szCs w:val="20"/>
        </w:rPr>
      </w:pPr>
      <w:hyperlink r:id="rId11" w:history="1">
        <w:r w:rsidRPr="001C72D8">
          <w:rPr>
            <w:rStyle w:val="Hyperlink"/>
            <w:color w:val="auto"/>
            <w:sz w:val="20"/>
          </w:rPr>
          <w:t>https://www.finance-ni.gov.uk/articles/northern-ireland-house-price-index</w:t>
        </w:r>
      </w:hyperlink>
    </w:p>
    <w:sectPr w:rsidR="00575048" w:rsidRPr="00613D15" w:rsidSect="00353B8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00D0B" w14:textId="77777777" w:rsidR="00AE4E05" w:rsidRDefault="00AE4E05" w:rsidP="009470B4">
      <w:pPr>
        <w:spacing w:after="0" w:line="240" w:lineRule="auto"/>
      </w:pPr>
      <w:r>
        <w:separator/>
      </w:r>
    </w:p>
  </w:endnote>
  <w:endnote w:type="continuationSeparator" w:id="0">
    <w:p w14:paraId="025BCD86" w14:textId="77777777" w:rsidR="00AE4E05" w:rsidRDefault="00AE4E05" w:rsidP="00947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9684376"/>
      <w:docPartObj>
        <w:docPartGallery w:val="Page Numbers (Bottom of Page)"/>
        <w:docPartUnique/>
      </w:docPartObj>
    </w:sdtPr>
    <w:sdtEndPr>
      <w:rPr>
        <w:noProof/>
      </w:rPr>
    </w:sdtEndPr>
    <w:sdtContent>
      <w:p w14:paraId="6740C264" w14:textId="77777777" w:rsidR="00AE4E05" w:rsidRDefault="00AE4E05">
        <w:pPr>
          <w:pStyle w:val="Footer"/>
          <w:jc w:val="right"/>
        </w:pPr>
        <w:r>
          <w:fldChar w:fldCharType="begin"/>
        </w:r>
        <w:r>
          <w:instrText xml:space="preserve"> PAGE   \* MERGEFORMAT </w:instrText>
        </w:r>
        <w:r>
          <w:fldChar w:fldCharType="separate"/>
        </w:r>
        <w:r w:rsidR="00266050">
          <w:rPr>
            <w:noProof/>
          </w:rPr>
          <w:t>7</w:t>
        </w:r>
        <w:r>
          <w:rPr>
            <w:noProof/>
          </w:rPr>
          <w:fldChar w:fldCharType="end"/>
        </w:r>
      </w:p>
    </w:sdtContent>
  </w:sdt>
  <w:p w14:paraId="3A6E520F" w14:textId="77777777" w:rsidR="00AE4E05" w:rsidRDefault="00AE4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8117B" w14:textId="77777777" w:rsidR="00AE4E05" w:rsidRDefault="00AE4E05" w:rsidP="009470B4">
      <w:pPr>
        <w:spacing w:after="0" w:line="240" w:lineRule="auto"/>
      </w:pPr>
      <w:r>
        <w:separator/>
      </w:r>
    </w:p>
  </w:footnote>
  <w:footnote w:type="continuationSeparator" w:id="0">
    <w:p w14:paraId="48EA8240" w14:textId="77777777" w:rsidR="00AE4E05" w:rsidRDefault="00AE4E05" w:rsidP="009470B4">
      <w:pPr>
        <w:spacing w:after="0" w:line="240" w:lineRule="auto"/>
      </w:pPr>
      <w:r>
        <w:continuationSeparator/>
      </w:r>
    </w:p>
  </w:footnote>
  <w:footnote w:id="1">
    <w:p w14:paraId="181CB317" w14:textId="77777777" w:rsidR="00AE4E05" w:rsidRDefault="00AE4E05">
      <w:pPr>
        <w:pStyle w:val="FootnoteText"/>
      </w:pPr>
      <w:r>
        <w:rPr>
          <w:rStyle w:val="FootnoteReference"/>
        </w:rPr>
        <w:footnoteRef/>
      </w:r>
      <w:r>
        <w:t xml:space="preserve"> Northern Ireland House Price Index - </w:t>
      </w:r>
      <w:hyperlink r:id="rId1" w:history="1">
        <w:r>
          <w:rPr>
            <w:rStyle w:val="Hyperlink"/>
          </w:rPr>
          <w:t>https://www.finance-ni.gov.uk/articles/about-northern-ireland-house-price-index</w:t>
        </w:r>
      </w:hyperlink>
    </w:p>
  </w:footnote>
  <w:footnote w:id="2">
    <w:p w14:paraId="200F38D2" w14:textId="77777777" w:rsidR="00AE4E05" w:rsidRDefault="00AE4E05">
      <w:pPr>
        <w:pStyle w:val="FootnoteText"/>
      </w:pPr>
      <w:r>
        <w:rPr>
          <w:rStyle w:val="FootnoteReference"/>
        </w:rPr>
        <w:footnoteRef/>
      </w:r>
      <w:r>
        <w:t xml:space="preserve"> Results for the most recent quarters are provisional and subject to revision as more up-to-date data become available.</w:t>
      </w:r>
    </w:p>
  </w:footnote>
  <w:footnote w:id="3">
    <w:p w14:paraId="5B099A80" w14:textId="281CA960" w:rsidR="00230A92" w:rsidRDefault="00230A92">
      <w:pPr>
        <w:pStyle w:val="FootnoteText"/>
      </w:pPr>
      <w:r>
        <w:rPr>
          <w:rStyle w:val="FootnoteReference"/>
        </w:rPr>
        <w:footnoteRef/>
      </w:r>
      <w:r>
        <w:t xml:space="preserve"> Please note,</w:t>
      </w:r>
      <w:r w:rsidRPr="00907375">
        <w:t xml:space="preserve"> figures for the most recent quarters are provisional and </w:t>
      </w:r>
      <w:r>
        <w:t xml:space="preserve">may </w:t>
      </w:r>
      <w:r w:rsidRPr="00907375">
        <w:t>increase due to late sales returns and new dwellings being added to the Valuation List after the quarter.</w:t>
      </w:r>
    </w:p>
  </w:footnote>
  <w:footnote w:id="4">
    <w:p w14:paraId="0303A45D" w14:textId="77777777" w:rsidR="00AE4E05" w:rsidRDefault="00AE4E05">
      <w:pPr>
        <w:pStyle w:val="FootnoteText"/>
      </w:pPr>
      <w:r>
        <w:rPr>
          <w:rStyle w:val="FootnoteReference"/>
        </w:rPr>
        <w:footnoteRef/>
      </w:r>
      <w:r>
        <w:t xml:space="preserve"> Please note figures for the two</w:t>
      </w:r>
      <w:r w:rsidRPr="005757B8">
        <w:t xml:space="preserve"> most recent quarters are provisional and will increase due to late sales returns and new dwellings sold in this quarter being added to the Valuation List after the quarter.  </w:t>
      </w:r>
    </w:p>
  </w:footnote>
  <w:footnote w:id="5">
    <w:p w14:paraId="1F39E1FA" w14:textId="39A90BF0" w:rsidR="00DC75D2" w:rsidRDefault="00DC75D2">
      <w:pPr>
        <w:pStyle w:val="FootnoteText"/>
      </w:pPr>
      <w:r>
        <w:rPr>
          <w:rStyle w:val="FootnoteReference"/>
        </w:rPr>
        <w:footnoteRef/>
      </w:r>
      <w:r>
        <w:t xml:space="preserve"> </w:t>
      </w:r>
      <w:r w:rsidRPr="00DC75D2">
        <w:t>Please note, this figure is provisional and may increase due to late sales returns and new dwellings sold in this quarter being added to the valuation list after the quarter.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787"/>
    <w:rsid w:val="00010054"/>
    <w:rsid w:val="00015C89"/>
    <w:rsid w:val="00016734"/>
    <w:rsid w:val="00022000"/>
    <w:rsid w:val="0002430D"/>
    <w:rsid w:val="000301D2"/>
    <w:rsid w:val="00042D0A"/>
    <w:rsid w:val="000478DE"/>
    <w:rsid w:val="0005381B"/>
    <w:rsid w:val="00054CA9"/>
    <w:rsid w:val="00055812"/>
    <w:rsid w:val="00063DC9"/>
    <w:rsid w:val="000C3A66"/>
    <w:rsid w:val="000C7CE8"/>
    <w:rsid w:val="000E3074"/>
    <w:rsid w:val="000F3377"/>
    <w:rsid w:val="00100464"/>
    <w:rsid w:val="00106136"/>
    <w:rsid w:val="00114D48"/>
    <w:rsid w:val="00126CDC"/>
    <w:rsid w:val="00132C03"/>
    <w:rsid w:val="0013324C"/>
    <w:rsid w:val="00136E94"/>
    <w:rsid w:val="001464FA"/>
    <w:rsid w:val="0014748E"/>
    <w:rsid w:val="001544AB"/>
    <w:rsid w:val="00154E71"/>
    <w:rsid w:val="001A47AC"/>
    <w:rsid w:val="001C4719"/>
    <w:rsid w:val="001C72D8"/>
    <w:rsid w:val="001D57EC"/>
    <w:rsid w:val="00217CA4"/>
    <w:rsid w:val="00226F0B"/>
    <w:rsid w:val="00230A92"/>
    <w:rsid w:val="002335A3"/>
    <w:rsid w:val="002475B0"/>
    <w:rsid w:val="00265A7A"/>
    <w:rsid w:val="00265E55"/>
    <w:rsid w:val="00266050"/>
    <w:rsid w:val="00267CB1"/>
    <w:rsid w:val="002703D5"/>
    <w:rsid w:val="00280A60"/>
    <w:rsid w:val="002A0E8C"/>
    <w:rsid w:val="002B13D9"/>
    <w:rsid w:val="002C715B"/>
    <w:rsid w:val="002F5387"/>
    <w:rsid w:val="002F72B7"/>
    <w:rsid w:val="0031287E"/>
    <w:rsid w:val="00317410"/>
    <w:rsid w:val="003176C1"/>
    <w:rsid w:val="00353B8B"/>
    <w:rsid w:val="00360DCE"/>
    <w:rsid w:val="00375972"/>
    <w:rsid w:val="003810A8"/>
    <w:rsid w:val="00381E1E"/>
    <w:rsid w:val="00390ACA"/>
    <w:rsid w:val="003B697F"/>
    <w:rsid w:val="003C13E3"/>
    <w:rsid w:val="003E3F03"/>
    <w:rsid w:val="003F031F"/>
    <w:rsid w:val="003F3042"/>
    <w:rsid w:val="003F710E"/>
    <w:rsid w:val="00404522"/>
    <w:rsid w:val="00407E0F"/>
    <w:rsid w:val="004148D5"/>
    <w:rsid w:val="0041571F"/>
    <w:rsid w:val="00415C95"/>
    <w:rsid w:val="00422193"/>
    <w:rsid w:val="00435597"/>
    <w:rsid w:val="00456E1A"/>
    <w:rsid w:val="004658F9"/>
    <w:rsid w:val="00470647"/>
    <w:rsid w:val="004919D3"/>
    <w:rsid w:val="00492FC0"/>
    <w:rsid w:val="00494448"/>
    <w:rsid w:val="004A1E55"/>
    <w:rsid w:val="004A38AC"/>
    <w:rsid w:val="004B3D29"/>
    <w:rsid w:val="004B5004"/>
    <w:rsid w:val="004B5682"/>
    <w:rsid w:val="004D3C20"/>
    <w:rsid w:val="00505DD9"/>
    <w:rsid w:val="00521179"/>
    <w:rsid w:val="00532F05"/>
    <w:rsid w:val="005336B7"/>
    <w:rsid w:val="00535FFD"/>
    <w:rsid w:val="00540188"/>
    <w:rsid w:val="00543809"/>
    <w:rsid w:val="00546B94"/>
    <w:rsid w:val="0057073C"/>
    <w:rsid w:val="00575048"/>
    <w:rsid w:val="005757B8"/>
    <w:rsid w:val="005832D1"/>
    <w:rsid w:val="0058636A"/>
    <w:rsid w:val="0058671C"/>
    <w:rsid w:val="005A6C2C"/>
    <w:rsid w:val="005B0160"/>
    <w:rsid w:val="005F21E3"/>
    <w:rsid w:val="005F249E"/>
    <w:rsid w:val="005F612B"/>
    <w:rsid w:val="00613D15"/>
    <w:rsid w:val="00620D8C"/>
    <w:rsid w:val="00624CAA"/>
    <w:rsid w:val="00624E00"/>
    <w:rsid w:val="00625A8B"/>
    <w:rsid w:val="006374EE"/>
    <w:rsid w:val="00647E43"/>
    <w:rsid w:val="0066786B"/>
    <w:rsid w:val="006A560C"/>
    <w:rsid w:val="006A7EB5"/>
    <w:rsid w:val="006B0504"/>
    <w:rsid w:val="006B3FDE"/>
    <w:rsid w:val="006C3F57"/>
    <w:rsid w:val="006E3009"/>
    <w:rsid w:val="006E4145"/>
    <w:rsid w:val="006E52A7"/>
    <w:rsid w:val="006F549C"/>
    <w:rsid w:val="006F74D2"/>
    <w:rsid w:val="00714950"/>
    <w:rsid w:val="00717DC6"/>
    <w:rsid w:val="00722CA9"/>
    <w:rsid w:val="0078326C"/>
    <w:rsid w:val="0079173A"/>
    <w:rsid w:val="007C1C25"/>
    <w:rsid w:val="007C20BE"/>
    <w:rsid w:val="007C7AFB"/>
    <w:rsid w:val="0080358A"/>
    <w:rsid w:val="00804F3D"/>
    <w:rsid w:val="00820F29"/>
    <w:rsid w:val="008273E8"/>
    <w:rsid w:val="008353FB"/>
    <w:rsid w:val="00836E9E"/>
    <w:rsid w:val="00842332"/>
    <w:rsid w:val="0084512A"/>
    <w:rsid w:val="00864320"/>
    <w:rsid w:val="008940FB"/>
    <w:rsid w:val="00896DB1"/>
    <w:rsid w:val="00897FB0"/>
    <w:rsid w:val="008A7D07"/>
    <w:rsid w:val="008C1EDC"/>
    <w:rsid w:val="008C353B"/>
    <w:rsid w:val="008C3787"/>
    <w:rsid w:val="008C513E"/>
    <w:rsid w:val="008D2053"/>
    <w:rsid w:val="00907375"/>
    <w:rsid w:val="00916A56"/>
    <w:rsid w:val="00921013"/>
    <w:rsid w:val="009239B6"/>
    <w:rsid w:val="009470B4"/>
    <w:rsid w:val="00952758"/>
    <w:rsid w:val="00952BC8"/>
    <w:rsid w:val="00972ED1"/>
    <w:rsid w:val="0098101A"/>
    <w:rsid w:val="00993745"/>
    <w:rsid w:val="009B3F8F"/>
    <w:rsid w:val="009D004F"/>
    <w:rsid w:val="009F2BD0"/>
    <w:rsid w:val="00A0792D"/>
    <w:rsid w:val="00A32D97"/>
    <w:rsid w:val="00A409EB"/>
    <w:rsid w:val="00A4397A"/>
    <w:rsid w:val="00A64F03"/>
    <w:rsid w:val="00A70F15"/>
    <w:rsid w:val="00A76810"/>
    <w:rsid w:val="00A76A98"/>
    <w:rsid w:val="00A9289F"/>
    <w:rsid w:val="00AB0ED7"/>
    <w:rsid w:val="00AB41FD"/>
    <w:rsid w:val="00AD017F"/>
    <w:rsid w:val="00AD50E1"/>
    <w:rsid w:val="00AE14E6"/>
    <w:rsid w:val="00AE4E05"/>
    <w:rsid w:val="00AF2F62"/>
    <w:rsid w:val="00AF4854"/>
    <w:rsid w:val="00B1156F"/>
    <w:rsid w:val="00B1799E"/>
    <w:rsid w:val="00B22979"/>
    <w:rsid w:val="00B41D1F"/>
    <w:rsid w:val="00B541C9"/>
    <w:rsid w:val="00B5562A"/>
    <w:rsid w:val="00B67235"/>
    <w:rsid w:val="00B740A0"/>
    <w:rsid w:val="00BA1E62"/>
    <w:rsid w:val="00BA281D"/>
    <w:rsid w:val="00BC3F49"/>
    <w:rsid w:val="00BD04A1"/>
    <w:rsid w:val="00BE2588"/>
    <w:rsid w:val="00BE4D66"/>
    <w:rsid w:val="00BF4296"/>
    <w:rsid w:val="00BF5BEA"/>
    <w:rsid w:val="00BF6B21"/>
    <w:rsid w:val="00C00523"/>
    <w:rsid w:val="00C02BF2"/>
    <w:rsid w:val="00C17259"/>
    <w:rsid w:val="00C31C7F"/>
    <w:rsid w:val="00C42155"/>
    <w:rsid w:val="00C53A59"/>
    <w:rsid w:val="00C762A8"/>
    <w:rsid w:val="00CA5B18"/>
    <w:rsid w:val="00CA73A0"/>
    <w:rsid w:val="00CA7DD5"/>
    <w:rsid w:val="00CB2A47"/>
    <w:rsid w:val="00CB3B50"/>
    <w:rsid w:val="00CD25E3"/>
    <w:rsid w:val="00CD28A0"/>
    <w:rsid w:val="00CD5C85"/>
    <w:rsid w:val="00CE4438"/>
    <w:rsid w:val="00D1332B"/>
    <w:rsid w:val="00D14FF4"/>
    <w:rsid w:val="00D249BD"/>
    <w:rsid w:val="00D43741"/>
    <w:rsid w:val="00D52E12"/>
    <w:rsid w:val="00D73825"/>
    <w:rsid w:val="00D82855"/>
    <w:rsid w:val="00D87B6E"/>
    <w:rsid w:val="00DC0E4D"/>
    <w:rsid w:val="00DC75D2"/>
    <w:rsid w:val="00DE78D8"/>
    <w:rsid w:val="00DF781C"/>
    <w:rsid w:val="00E00A77"/>
    <w:rsid w:val="00E00CE7"/>
    <w:rsid w:val="00E01B65"/>
    <w:rsid w:val="00E119D6"/>
    <w:rsid w:val="00E56D07"/>
    <w:rsid w:val="00E6157D"/>
    <w:rsid w:val="00E64F91"/>
    <w:rsid w:val="00E744C3"/>
    <w:rsid w:val="00ED1DD6"/>
    <w:rsid w:val="00ED6E70"/>
    <w:rsid w:val="00EF1734"/>
    <w:rsid w:val="00EF616C"/>
    <w:rsid w:val="00F11380"/>
    <w:rsid w:val="00F14B8F"/>
    <w:rsid w:val="00F15DC8"/>
    <w:rsid w:val="00F32554"/>
    <w:rsid w:val="00F446F5"/>
    <w:rsid w:val="00F64045"/>
    <w:rsid w:val="00F7045A"/>
    <w:rsid w:val="00F82BC6"/>
    <w:rsid w:val="00FD06D7"/>
    <w:rsid w:val="00FF4060"/>
    <w:rsid w:val="00FF5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FE5B3"/>
  <w15:chartTrackingRefBased/>
  <w15:docId w15:val="{C11A593D-929D-46F6-A671-5201660B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75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0B4"/>
  </w:style>
  <w:style w:type="paragraph" w:styleId="Footer">
    <w:name w:val="footer"/>
    <w:basedOn w:val="Normal"/>
    <w:link w:val="FooterChar"/>
    <w:uiPriority w:val="99"/>
    <w:unhideWhenUsed/>
    <w:rsid w:val="00947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0B4"/>
  </w:style>
  <w:style w:type="character" w:styleId="Hyperlink">
    <w:name w:val="Hyperlink"/>
    <w:basedOn w:val="DefaultParagraphFont"/>
    <w:uiPriority w:val="99"/>
    <w:semiHidden/>
    <w:unhideWhenUsed/>
    <w:rsid w:val="005B0160"/>
    <w:rPr>
      <w:color w:val="0000FF"/>
      <w:u w:val="single"/>
    </w:rPr>
  </w:style>
  <w:style w:type="paragraph" w:styleId="FootnoteText">
    <w:name w:val="footnote text"/>
    <w:basedOn w:val="Normal"/>
    <w:link w:val="FootnoteTextChar"/>
    <w:uiPriority w:val="99"/>
    <w:semiHidden/>
    <w:unhideWhenUsed/>
    <w:rsid w:val="005B01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0160"/>
    <w:rPr>
      <w:sz w:val="20"/>
      <w:szCs w:val="20"/>
    </w:rPr>
  </w:style>
  <w:style w:type="character" w:styleId="FootnoteReference">
    <w:name w:val="footnote reference"/>
    <w:basedOn w:val="DefaultParagraphFont"/>
    <w:uiPriority w:val="99"/>
    <w:semiHidden/>
    <w:unhideWhenUsed/>
    <w:rsid w:val="005B0160"/>
    <w:rPr>
      <w:vertAlign w:val="superscript"/>
    </w:rPr>
  </w:style>
  <w:style w:type="paragraph" w:styleId="BalloonText">
    <w:name w:val="Balloon Text"/>
    <w:basedOn w:val="Normal"/>
    <w:link w:val="BalloonTextChar"/>
    <w:uiPriority w:val="99"/>
    <w:semiHidden/>
    <w:unhideWhenUsed/>
    <w:rsid w:val="00491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9D3"/>
    <w:rPr>
      <w:rFonts w:ascii="Segoe UI" w:hAnsi="Segoe UI" w:cs="Segoe UI"/>
      <w:sz w:val="18"/>
      <w:szCs w:val="18"/>
    </w:rPr>
  </w:style>
  <w:style w:type="character" w:styleId="FollowedHyperlink">
    <w:name w:val="FollowedHyperlink"/>
    <w:basedOn w:val="DefaultParagraphFont"/>
    <w:uiPriority w:val="99"/>
    <w:semiHidden/>
    <w:unhideWhenUsed/>
    <w:rsid w:val="004919D3"/>
    <w:rPr>
      <w:color w:val="954F72" w:themeColor="followedHyperlink"/>
      <w:u w:val="single"/>
    </w:rPr>
  </w:style>
  <w:style w:type="table" w:styleId="GridTable1Light">
    <w:name w:val="Grid Table 1 Light"/>
    <w:basedOn w:val="TableNormal"/>
    <w:uiPriority w:val="46"/>
    <w:rsid w:val="009F2BD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F64045"/>
    <w:pPr>
      <w:spacing w:after="0" w:line="240" w:lineRule="auto"/>
    </w:pPr>
  </w:style>
  <w:style w:type="character" w:customStyle="1" w:styleId="Heading1Char">
    <w:name w:val="Heading 1 Char"/>
    <w:basedOn w:val="DefaultParagraphFont"/>
    <w:link w:val="Heading1"/>
    <w:uiPriority w:val="9"/>
    <w:rsid w:val="00DC75D2"/>
    <w:rPr>
      <w:rFonts w:asciiTheme="majorHAnsi" w:eastAsiaTheme="majorEastAsia" w:hAnsiTheme="majorHAnsi" w:cstheme="majorBidi"/>
      <w:color w:val="2E74B5" w:themeColor="accent1" w:themeShade="BF"/>
      <w:sz w:val="32"/>
      <w:szCs w:val="32"/>
    </w:rPr>
  </w:style>
  <w:style w:type="table" w:styleId="GridTable1Light-Accent1">
    <w:name w:val="Grid Table 1 Light Accent 1"/>
    <w:basedOn w:val="TableNormal"/>
    <w:uiPriority w:val="46"/>
    <w:rsid w:val="00DC75D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DC7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46845">
      <w:bodyDiv w:val="1"/>
      <w:marLeft w:val="0"/>
      <w:marRight w:val="0"/>
      <w:marTop w:val="0"/>
      <w:marBottom w:val="0"/>
      <w:divBdr>
        <w:top w:val="none" w:sz="0" w:space="0" w:color="auto"/>
        <w:left w:val="none" w:sz="0" w:space="0" w:color="auto"/>
        <w:bottom w:val="none" w:sz="0" w:space="0" w:color="auto"/>
        <w:right w:val="none" w:sz="0" w:space="0" w:color="auto"/>
      </w:divBdr>
    </w:div>
    <w:div w:id="306320665">
      <w:bodyDiv w:val="1"/>
      <w:marLeft w:val="0"/>
      <w:marRight w:val="0"/>
      <w:marTop w:val="0"/>
      <w:marBottom w:val="0"/>
      <w:divBdr>
        <w:top w:val="none" w:sz="0" w:space="0" w:color="auto"/>
        <w:left w:val="none" w:sz="0" w:space="0" w:color="auto"/>
        <w:bottom w:val="none" w:sz="0" w:space="0" w:color="auto"/>
        <w:right w:val="none" w:sz="0" w:space="0" w:color="auto"/>
      </w:divBdr>
    </w:div>
    <w:div w:id="435559886">
      <w:bodyDiv w:val="1"/>
      <w:marLeft w:val="0"/>
      <w:marRight w:val="0"/>
      <w:marTop w:val="0"/>
      <w:marBottom w:val="0"/>
      <w:divBdr>
        <w:top w:val="none" w:sz="0" w:space="0" w:color="auto"/>
        <w:left w:val="none" w:sz="0" w:space="0" w:color="auto"/>
        <w:bottom w:val="none" w:sz="0" w:space="0" w:color="auto"/>
        <w:right w:val="none" w:sz="0" w:space="0" w:color="auto"/>
      </w:divBdr>
    </w:div>
    <w:div w:id="515926461">
      <w:bodyDiv w:val="1"/>
      <w:marLeft w:val="0"/>
      <w:marRight w:val="0"/>
      <w:marTop w:val="0"/>
      <w:marBottom w:val="0"/>
      <w:divBdr>
        <w:top w:val="none" w:sz="0" w:space="0" w:color="auto"/>
        <w:left w:val="none" w:sz="0" w:space="0" w:color="auto"/>
        <w:bottom w:val="none" w:sz="0" w:space="0" w:color="auto"/>
        <w:right w:val="none" w:sz="0" w:space="0" w:color="auto"/>
      </w:divBdr>
    </w:div>
    <w:div w:id="641616845">
      <w:bodyDiv w:val="1"/>
      <w:marLeft w:val="0"/>
      <w:marRight w:val="0"/>
      <w:marTop w:val="0"/>
      <w:marBottom w:val="0"/>
      <w:divBdr>
        <w:top w:val="none" w:sz="0" w:space="0" w:color="auto"/>
        <w:left w:val="none" w:sz="0" w:space="0" w:color="auto"/>
        <w:bottom w:val="none" w:sz="0" w:space="0" w:color="auto"/>
        <w:right w:val="none" w:sz="0" w:space="0" w:color="auto"/>
      </w:divBdr>
    </w:div>
    <w:div w:id="731386958">
      <w:bodyDiv w:val="1"/>
      <w:marLeft w:val="0"/>
      <w:marRight w:val="0"/>
      <w:marTop w:val="0"/>
      <w:marBottom w:val="0"/>
      <w:divBdr>
        <w:top w:val="none" w:sz="0" w:space="0" w:color="auto"/>
        <w:left w:val="none" w:sz="0" w:space="0" w:color="auto"/>
        <w:bottom w:val="none" w:sz="0" w:space="0" w:color="auto"/>
        <w:right w:val="none" w:sz="0" w:space="0" w:color="auto"/>
      </w:divBdr>
    </w:div>
    <w:div w:id="734425964">
      <w:bodyDiv w:val="1"/>
      <w:marLeft w:val="0"/>
      <w:marRight w:val="0"/>
      <w:marTop w:val="0"/>
      <w:marBottom w:val="0"/>
      <w:divBdr>
        <w:top w:val="none" w:sz="0" w:space="0" w:color="auto"/>
        <w:left w:val="none" w:sz="0" w:space="0" w:color="auto"/>
        <w:bottom w:val="none" w:sz="0" w:space="0" w:color="auto"/>
        <w:right w:val="none" w:sz="0" w:space="0" w:color="auto"/>
      </w:divBdr>
    </w:div>
    <w:div w:id="753166150">
      <w:bodyDiv w:val="1"/>
      <w:marLeft w:val="0"/>
      <w:marRight w:val="0"/>
      <w:marTop w:val="0"/>
      <w:marBottom w:val="0"/>
      <w:divBdr>
        <w:top w:val="none" w:sz="0" w:space="0" w:color="auto"/>
        <w:left w:val="none" w:sz="0" w:space="0" w:color="auto"/>
        <w:bottom w:val="none" w:sz="0" w:space="0" w:color="auto"/>
        <w:right w:val="none" w:sz="0" w:space="0" w:color="auto"/>
      </w:divBdr>
    </w:div>
    <w:div w:id="775636296">
      <w:bodyDiv w:val="1"/>
      <w:marLeft w:val="0"/>
      <w:marRight w:val="0"/>
      <w:marTop w:val="0"/>
      <w:marBottom w:val="0"/>
      <w:divBdr>
        <w:top w:val="none" w:sz="0" w:space="0" w:color="auto"/>
        <w:left w:val="none" w:sz="0" w:space="0" w:color="auto"/>
        <w:bottom w:val="none" w:sz="0" w:space="0" w:color="auto"/>
        <w:right w:val="none" w:sz="0" w:space="0" w:color="auto"/>
      </w:divBdr>
    </w:div>
    <w:div w:id="1214730463">
      <w:bodyDiv w:val="1"/>
      <w:marLeft w:val="0"/>
      <w:marRight w:val="0"/>
      <w:marTop w:val="0"/>
      <w:marBottom w:val="0"/>
      <w:divBdr>
        <w:top w:val="none" w:sz="0" w:space="0" w:color="auto"/>
        <w:left w:val="none" w:sz="0" w:space="0" w:color="auto"/>
        <w:bottom w:val="none" w:sz="0" w:space="0" w:color="auto"/>
        <w:right w:val="none" w:sz="0" w:space="0" w:color="auto"/>
      </w:divBdr>
    </w:div>
    <w:div w:id="1264457571">
      <w:bodyDiv w:val="1"/>
      <w:marLeft w:val="0"/>
      <w:marRight w:val="0"/>
      <w:marTop w:val="0"/>
      <w:marBottom w:val="0"/>
      <w:divBdr>
        <w:top w:val="none" w:sz="0" w:space="0" w:color="auto"/>
        <w:left w:val="none" w:sz="0" w:space="0" w:color="auto"/>
        <w:bottom w:val="none" w:sz="0" w:space="0" w:color="auto"/>
        <w:right w:val="none" w:sz="0" w:space="0" w:color="auto"/>
      </w:divBdr>
    </w:div>
    <w:div w:id="1384645280">
      <w:bodyDiv w:val="1"/>
      <w:marLeft w:val="0"/>
      <w:marRight w:val="0"/>
      <w:marTop w:val="0"/>
      <w:marBottom w:val="0"/>
      <w:divBdr>
        <w:top w:val="none" w:sz="0" w:space="0" w:color="auto"/>
        <w:left w:val="none" w:sz="0" w:space="0" w:color="auto"/>
        <w:bottom w:val="none" w:sz="0" w:space="0" w:color="auto"/>
        <w:right w:val="none" w:sz="0" w:space="0" w:color="auto"/>
      </w:divBdr>
    </w:div>
    <w:div w:id="1434931712">
      <w:bodyDiv w:val="1"/>
      <w:marLeft w:val="0"/>
      <w:marRight w:val="0"/>
      <w:marTop w:val="0"/>
      <w:marBottom w:val="0"/>
      <w:divBdr>
        <w:top w:val="none" w:sz="0" w:space="0" w:color="auto"/>
        <w:left w:val="none" w:sz="0" w:space="0" w:color="auto"/>
        <w:bottom w:val="none" w:sz="0" w:space="0" w:color="auto"/>
        <w:right w:val="none" w:sz="0" w:space="0" w:color="auto"/>
      </w:divBdr>
    </w:div>
    <w:div w:id="1454641033">
      <w:bodyDiv w:val="1"/>
      <w:marLeft w:val="0"/>
      <w:marRight w:val="0"/>
      <w:marTop w:val="0"/>
      <w:marBottom w:val="0"/>
      <w:divBdr>
        <w:top w:val="none" w:sz="0" w:space="0" w:color="auto"/>
        <w:left w:val="none" w:sz="0" w:space="0" w:color="auto"/>
        <w:bottom w:val="none" w:sz="0" w:space="0" w:color="auto"/>
        <w:right w:val="none" w:sz="0" w:space="0" w:color="auto"/>
      </w:divBdr>
    </w:div>
    <w:div w:id="1456171171">
      <w:bodyDiv w:val="1"/>
      <w:marLeft w:val="0"/>
      <w:marRight w:val="0"/>
      <w:marTop w:val="0"/>
      <w:marBottom w:val="0"/>
      <w:divBdr>
        <w:top w:val="none" w:sz="0" w:space="0" w:color="auto"/>
        <w:left w:val="none" w:sz="0" w:space="0" w:color="auto"/>
        <w:bottom w:val="none" w:sz="0" w:space="0" w:color="auto"/>
        <w:right w:val="none" w:sz="0" w:space="0" w:color="auto"/>
      </w:divBdr>
    </w:div>
    <w:div w:id="1649431044">
      <w:bodyDiv w:val="1"/>
      <w:marLeft w:val="0"/>
      <w:marRight w:val="0"/>
      <w:marTop w:val="0"/>
      <w:marBottom w:val="0"/>
      <w:divBdr>
        <w:top w:val="none" w:sz="0" w:space="0" w:color="auto"/>
        <w:left w:val="none" w:sz="0" w:space="0" w:color="auto"/>
        <w:bottom w:val="none" w:sz="0" w:space="0" w:color="auto"/>
        <w:right w:val="none" w:sz="0" w:space="0" w:color="auto"/>
      </w:divBdr>
    </w:div>
    <w:div w:id="207435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inance-ni.gov.uk/articles/northern-ireland-house-price-index" TargetMode="Externa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e-ni.gov.uk/articles/about-northern-ireland-house-price-inde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abc-svr-17\ABC-Banbridgelegacy\community_planning\2.%20Cmty%20&amp;%20Strat%20Planning%20JD\DATA%20ANALYST\2.%20Statistics%20for%20Website\Housing\Updates\2024\Residential%20Property\Residential%20Property%20Stats%20Q3%202024%20Updat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abc-svr-17\ABC-Banbridgelegacy\community_planning\2.%20Cmty%20&amp;%20Strat%20Planning%20JD\DATA%20ANALYST\2.%20Statistics%20for%20Website\Housing\Updates\2024\Residential%20Property\Residential%20Property%20Stats%20Q3%202024%20Updat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abc-svr-17\ABC-Banbridgelegacy\community_planning\2.%20Cmty%20&amp;%20Strat%20Planning%20JD\DATA%20ANALYST\2.%20Statistics%20for%20Website\Housing\Updates\2024\Residential%20Property\Residential%20Property%20Stats%20Q3%202024%20Update.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623746554644941E-2"/>
          <c:y val="2.6027800000670724E-2"/>
          <c:w val="0.91260686933769397"/>
          <c:h val="0.86368140035153362"/>
        </c:manualLayout>
      </c:layout>
      <c:lineChart>
        <c:grouping val="standard"/>
        <c:varyColors val="0"/>
        <c:ser>
          <c:idx val="0"/>
          <c:order val="0"/>
          <c:tx>
            <c:strRef>
              <c:f>Charts!$C$3</c:f>
              <c:strCache>
                <c:ptCount val="1"/>
                <c:pt idx="0">
                  <c:v>Armagh City, Banbridge and Craigavon </c:v>
                </c:pt>
              </c:strCache>
            </c:strRef>
          </c:tx>
          <c:spPr>
            <a:ln w="28575" cap="rnd">
              <a:solidFill>
                <a:schemeClr val="accent1"/>
              </a:solidFill>
              <a:round/>
            </a:ln>
            <a:effectLst/>
          </c:spPr>
          <c:marker>
            <c:symbol val="none"/>
          </c:marker>
          <c:dLbls>
            <c:dLbl>
              <c:idx val="0"/>
              <c:layout>
                <c:manualLayout>
                  <c:x val="-1.1516111991547808E-2"/>
                  <c:y val="2.9559345806058793E-2"/>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4C6-4A04-92C7-3C7BD31A503B}"/>
                </c:ext>
              </c:extLst>
            </c:dLbl>
            <c:dLbl>
              <c:idx val="10"/>
              <c:layout>
                <c:manualLayout>
                  <c:x val="1.3583880461851909E-2"/>
                  <c:y val="0"/>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4C6-4A04-92C7-3C7BD31A503B}"/>
                </c:ext>
              </c:extLst>
            </c:dLbl>
            <c:dLbl>
              <c:idx val="31"/>
              <c:layout>
                <c:manualLayout>
                  <c:x val="-3.9770583352199892E-2"/>
                  <c:y val="3.6657836715332626E-2"/>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4C6-4A04-92C7-3C7BD31A503B}"/>
                </c:ext>
              </c:extLst>
            </c:dLbl>
            <c:dLbl>
              <c:idx val="78"/>
              <c:layout>
                <c:manualLayout>
                  <c:x val="0"/>
                  <c:y val="8.795387540797290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4C6-4A04-92C7-3C7BD31A503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Charts!$A$4:$B$82</c:f>
              <c:multiLvlStrCache>
                <c:ptCount val="79"/>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pt idx="15">
                    <c:v>Q4</c:v>
                  </c:pt>
                  <c:pt idx="16">
                    <c:v>Q1</c:v>
                  </c:pt>
                  <c:pt idx="17">
                    <c:v>Q2</c:v>
                  </c:pt>
                  <c:pt idx="18">
                    <c:v>Q3</c:v>
                  </c:pt>
                  <c:pt idx="19">
                    <c:v>Q4</c:v>
                  </c:pt>
                  <c:pt idx="20">
                    <c:v>Q1</c:v>
                  </c:pt>
                  <c:pt idx="21">
                    <c:v>Q2</c:v>
                  </c:pt>
                  <c:pt idx="22">
                    <c:v>Q3</c:v>
                  </c:pt>
                  <c:pt idx="23">
                    <c:v>Q4</c:v>
                  </c:pt>
                  <c:pt idx="24">
                    <c:v>Q1</c:v>
                  </c:pt>
                  <c:pt idx="25">
                    <c:v>Q2</c:v>
                  </c:pt>
                  <c:pt idx="26">
                    <c:v>Q3</c:v>
                  </c:pt>
                  <c:pt idx="27">
                    <c:v>Q4</c:v>
                  </c:pt>
                  <c:pt idx="28">
                    <c:v>Q1</c:v>
                  </c:pt>
                  <c:pt idx="29">
                    <c:v>Q2</c:v>
                  </c:pt>
                  <c:pt idx="30">
                    <c:v>Q3</c:v>
                  </c:pt>
                  <c:pt idx="31">
                    <c:v>Q4</c:v>
                  </c:pt>
                  <c:pt idx="32">
                    <c:v>Q1</c:v>
                  </c:pt>
                  <c:pt idx="33">
                    <c:v>Q2</c:v>
                  </c:pt>
                  <c:pt idx="34">
                    <c:v>Q3</c:v>
                  </c:pt>
                  <c:pt idx="35">
                    <c:v>Q4</c:v>
                  </c:pt>
                  <c:pt idx="36">
                    <c:v>Q1</c:v>
                  </c:pt>
                  <c:pt idx="37">
                    <c:v>Q2</c:v>
                  </c:pt>
                  <c:pt idx="38">
                    <c:v>Q3</c:v>
                  </c:pt>
                  <c:pt idx="39">
                    <c:v>Q4</c:v>
                  </c:pt>
                  <c:pt idx="40">
                    <c:v>Q1</c:v>
                  </c:pt>
                  <c:pt idx="41">
                    <c:v>Q2</c:v>
                  </c:pt>
                  <c:pt idx="42">
                    <c:v>Q3</c:v>
                  </c:pt>
                  <c:pt idx="43">
                    <c:v>Q4</c:v>
                  </c:pt>
                  <c:pt idx="44">
                    <c:v>Q1</c:v>
                  </c:pt>
                  <c:pt idx="45">
                    <c:v>Q2</c:v>
                  </c:pt>
                  <c:pt idx="46">
                    <c:v>Q3</c:v>
                  </c:pt>
                  <c:pt idx="47">
                    <c:v>Q4</c:v>
                  </c:pt>
                  <c:pt idx="48">
                    <c:v>Q1</c:v>
                  </c:pt>
                  <c:pt idx="49">
                    <c:v>Q2</c:v>
                  </c:pt>
                  <c:pt idx="50">
                    <c:v>Q3</c:v>
                  </c:pt>
                  <c:pt idx="51">
                    <c:v>Q4</c:v>
                  </c:pt>
                  <c:pt idx="52">
                    <c:v>Q1</c:v>
                  </c:pt>
                  <c:pt idx="53">
                    <c:v>Q2</c:v>
                  </c:pt>
                  <c:pt idx="54">
                    <c:v>Q3</c:v>
                  </c:pt>
                  <c:pt idx="55">
                    <c:v>Q4</c:v>
                  </c:pt>
                  <c:pt idx="56">
                    <c:v>Q1</c:v>
                  </c:pt>
                  <c:pt idx="57">
                    <c:v>Q2</c:v>
                  </c:pt>
                  <c:pt idx="58">
                    <c:v>Q3</c:v>
                  </c:pt>
                  <c:pt idx="59">
                    <c:v>Q4</c:v>
                  </c:pt>
                  <c:pt idx="60">
                    <c:v>Q1</c:v>
                  </c:pt>
                  <c:pt idx="61">
                    <c:v>Q2</c:v>
                  </c:pt>
                  <c:pt idx="62">
                    <c:v>Q3</c:v>
                  </c:pt>
                  <c:pt idx="63">
                    <c:v>Q4</c:v>
                  </c:pt>
                  <c:pt idx="64">
                    <c:v>Q1</c:v>
                  </c:pt>
                  <c:pt idx="65">
                    <c:v>Q2</c:v>
                  </c:pt>
                  <c:pt idx="66">
                    <c:v>Q3</c:v>
                  </c:pt>
                  <c:pt idx="67">
                    <c:v>Q4</c:v>
                  </c:pt>
                  <c:pt idx="68">
                    <c:v>Q1</c:v>
                  </c:pt>
                  <c:pt idx="69">
                    <c:v>Q2</c:v>
                  </c:pt>
                  <c:pt idx="70">
                    <c:v>Q3</c:v>
                  </c:pt>
                  <c:pt idx="71">
                    <c:v>Q4</c:v>
                  </c:pt>
                  <c:pt idx="72">
                    <c:v>Q1</c:v>
                  </c:pt>
                  <c:pt idx="73">
                    <c:v>Q2</c:v>
                  </c:pt>
                  <c:pt idx="74">
                    <c:v>Q3</c:v>
                  </c:pt>
                  <c:pt idx="75">
                    <c:v>Q4</c:v>
                  </c:pt>
                  <c:pt idx="76">
                    <c:v>Q1</c:v>
                  </c:pt>
                  <c:pt idx="77">
                    <c:v>Q2</c:v>
                  </c:pt>
                  <c:pt idx="78">
                    <c:v>Q3</c:v>
                  </c:pt>
                </c:lvl>
                <c:lvl>
                  <c:pt idx="0">
                    <c:v>2005</c:v>
                  </c:pt>
                  <c:pt idx="4">
                    <c:v>2006</c:v>
                  </c:pt>
                  <c:pt idx="8">
                    <c:v>2007</c:v>
                  </c:pt>
                  <c:pt idx="12">
                    <c:v>2008</c:v>
                  </c:pt>
                  <c:pt idx="16">
                    <c:v>2009</c:v>
                  </c:pt>
                  <c:pt idx="20">
                    <c:v>2010</c:v>
                  </c:pt>
                  <c:pt idx="24">
                    <c:v>2011</c:v>
                  </c:pt>
                  <c:pt idx="28">
                    <c:v>2012</c:v>
                  </c:pt>
                  <c:pt idx="32">
                    <c:v>2013</c:v>
                  </c:pt>
                  <c:pt idx="36">
                    <c:v>2014</c:v>
                  </c:pt>
                  <c:pt idx="40">
                    <c:v>2015</c:v>
                  </c:pt>
                  <c:pt idx="44">
                    <c:v>2016</c:v>
                  </c:pt>
                  <c:pt idx="48">
                    <c:v>2017</c:v>
                  </c:pt>
                  <c:pt idx="52">
                    <c:v>2018</c:v>
                  </c:pt>
                  <c:pt idx="56">
                    <c:v>2019</c:v>
                  </c:pt>
                  <c:pt idx="60">
                    <c:v>2020</c:v>
                  </c:pt>
                  <c:pt idx="64">
                    <c:v>2021</c:v>
                  </c:pt>
                  <c:pt idx="68">
                    <c:v>2022</c:v>
                  </c:pt>
                  <c:pt idx="72">
                    <c:v>2023</c:v>
                  </c:pt>
                  <c:pt idx="76">
                    <c:v>2024</c:v>
                  </c:pt>
                </c:lvl>
              </c:multiLvlStrCache>
            </c:multiLvlStrRef>
          </c:cat>
          <c:val>
            <c:numRef>
              <c:f>Charts!$C$4:$C$82</c:f>
              <c:numCache>
                <c:formatCode>"£"#,##0</c:formatCode>
                <c:ptCount val="79"/>
                <c:pt idx="0">
                  <c:v>100785.14598643027</c:v>
                </c:pt>
                <c:pt idx="1">
                  <c:v>104807.10998153378</c:v>
                </c:pt>
                <c:pt idx="2">
                  <c:v>108434.91033311836</c:v>
                </c:pt>
                <c:pt idx="3">
                  <c:v>114415.07225991518</c:v>
                </c:pt>
                <c:pt idx="4">
                  <c:v>120090.85273261333</c:v>
                </c:pt>
                <c:pt idx="5">
                  <c:v>132629.16289759616</c:v>
                </c:pt>
                <c:pt idx="6">
                  <c:v>149270.03622693551</c:v>
                </c:pt>
                <c:pt idx="7">
                  <c:v>170765.93182990522</c:v>
                </c:pt>
                <c:pt idx="8">
                  <c:v>194409.82594249022</c:v>
                </c:pt>
                <c:pt idx="9">
                  <c:v>207773.46818239411</c:v>
                </c:pt>
                <c:pt idx="10">
                  <c:v>212065.42494782031</c:v>
                </c:pt>
                <c:pt idx="11">
                  <c:v>190140.15137072615</c:v>
                </c:pt>
                <c:pt idx="12">
                  <c:v>184485.77383505687</c:v>
                </c:pt>
                <c:pt idx="13">
                  <c:v>161639.65580340184</c:v>
                </c:pt>
                <c:pt idx="14">
                  <c:v>146484.66379441501</c:v>
                </c:pt>
                <c:pt idx="15">
                  <c:v>138953.46455849145</c:v>
                </c:pt>
                <c:pt idx="16">
                  <c:v>125125.81475822208</c:v>
                </c:pt>
                <c:pt idx="17">
                  <c:v>128247.53741844358</c:v>
                </c:pt>
                <c:pt idx="18">
                  <c:v>125061.76393368529</c:v>
                </c:pt>
                <c:pt idx="19">
                  <c:v>123413.89618572751</c:v>
                </c:pt>
                <c:pt idx="20">
                  <c:v>120422.62190766996</c:v>
                </c:pt>
                <c:pt idx="21">
                  <c:v>116291.51983475177</c:v>
                </c:pt>
                <c:pt idx="22">
                  <c:v>117213.80449299476</c:v>
                </c:pt>
                <c:pt idx="23">
                  <c:v>112573.90939990652</c:v>
                </c:pt>
                <c:pt idx="24">
                  <c:v>108573.7212247963</c:v>
                </c:pt>
                <c:pt idx="25">
                  <c:v>100970.48864903206</c:v>
                </c:pt>
                <c:pt idx="26">
                  <c:v>103122.44244384795</c:v>
                </c:pt>
                <c:pt idx="27">
                  <c:v>98107.916878273827</c:v>
                </c:pt>
                <c:pt idx="28">
                  <c:v>94043.783415869053</c:v>
                </c:pt>
                <c:pt idx="29">
                  <c:v>93359.845342916917</c:v>
                </c:pt>
                <c:pt idx="30">
                  <c:v>86783.14240319439</c:v>
                </c:pt>
                <c:pt idx="31">
                  <c:v>84527.442285484547</c:v>
                </c:pt>
                <c:pt idx="32">
                  <c:v>85164.562956261405</c:v>
                </c:pt>
                <c:pt idx="33">
                  <c:v>86763.812184215247</c:v>
                </c:pt>
                <c:pt idx="34">
                  <c:v>87504.795150428079</c:v>
                </c:pt>
                <c:pt idx="35">
                  <c:v>90739.119182404917</c:v>
                </c:pt>
                <c:pt idx="36">
                  <c:v>91433.884647038343</c:v>
                </c:pt>
                <c:pt idx="37">
                  <c:v>93307.26159571005</c:v>
                </c:pt>
                <c:pt idx="38">
                  <c:v>95585.927344651616</c:v>
                </c:pt>
                <c:pt idx="39">
                  <c:v>97789.725510457254</c:v>
                </c:pt>
                <c:pt idx="40">
                  <c:v>98571.624175458492</c:v>
                </c:pt>
                <c:pt idx="41">
                  <c:v>100809.1835717121</c:v>
                </c:pt>
                <c:pt idx="42">
                  <c:v>104149.01039562721</c:v>
                </c:pt>
                <c:pt idx="43">
                  <c:v>106687.76604862578</c:v>
                </c:pt>
                <c:pt idx="44">
                  <c:v>107699.46897407134</c:v>
                </c:pt>
                <c:pt idx="45">
                  <c:v>111343.5487375846</c:v>
                </c:pt>
                <c:pt idx="46">
                  <c:v>110290.40475749681</c:v>
                </c:pt>
                <c:pt idx="47">
                  <c:v>111383.87888304605</c:v>
                </c:pt>
                <c:pt idx="48">
                  <c:v>113866.86888974339</c:v>
                </c:pt>
                <c:pt idx="49">
                  <c:v>113596.24748528768</c:v>
                </c:pt>
                <c:pt idx="50">
                  <c:v>114180.98083173085</c:v>
                </c:pt>
                <c:pt idx="51">
                  <c:v>116311.98490084178</c:v>
                </c:pt>
                <c:pt idx="52">
                  <c:v>116041.98464862828</c:v>
                </c:pt>
                <c:pt idx="53">
                  <c:v>117042.38623780961</c:v>
                </c:pt>
                <c:pt idx="54">
                  <c:v>116741.27409853389</c:v>
                </c:pt>
                <c:pt idx="55">
                  <c:v>119928.6616834982</c:v>
                </c:pt>
                <c:pt idx="56">
                  <c:v>120820.35231999989</c:v>
                </c:pt>
                <c:pt idx="57">
                  <c:v>119927.98933510057</c:v>
                </c:pt>
                <c:pt idx="58">
                  <c:v>124268.44666380371</c:v>
                </c:pt>
                <c:pt idx="59">
                  <c:v>124038.68822613015</c:v>
                </c:pt>
                <c:pt idx="60">
                  <c:v>124617.71548506986</c:v>
                </c:pt>
                <c:pt idx="61">
                  <c:v>125311.53525323223</c:v>
                </c:pt>
                <c:pt idx="62">
                  <c:v>126735.7027317531</c:v>
                </c:pt>
                <c:pt idx="63">
                  <c:v>128988.72358618362</c:v>
                </c:pt>
                <c:pt idx="64">
                  <c:v>128520.30320926843</c:v>
                </c:pt>
                <c:pt idx="65">
                  <c:v>135476.11527824844</c:v>
                </c:pt>
                <c:pt idx="66">
                  <c:v>141523.27852023981</c:v>
                </c:pt>
                <c:pt idx="67">
                  <c:v>140167.74799659569</c:v>
                </c:pt>
                <c:pt idx="68">
                  <c:v>145838.31092501589</c:v>
                </c:pt>
                <c:pt idx="69">
                  <c:v>150777.9010270361</c:v>
                </c:pt>
                <c:pt idx="70">
                  <c:v>157156.0019720007</c:v>
                </c:pt>
                <c:pt idx="71">
                  <c:v>156055.32037549833</c:v>
                </c:pt>
                <c:pt idx="72">
                  <c:v>154670.15805007299</c:v>
                </c:pt>
                <c:pt idx="73">
                  <c:v>153730.60823816439</c:v>
                </c:pt>
                <c:pt idx="74">
                  <c:v>162305.82908051208</c:v>
                </c:pt>
                <c:pt idx="75">
                  <c:v>159603.95976692415</c:v>
                </c:pt>
                <c:pt idx="76">
                  <c:v>161469.84822718537</c:v>
                </c:pt>
                <c:pt idx="77">
                  <c:v>166423.82427449684</c:v>
                </c:pt>
                <c:pt idx="78">
                  <c:v>169407.22377159045</c:v>
                </c:pt>
              </c:numCache>
            </c:numRef>
          </c:val>
          <c:smooth val="0"/>
          <c:extLst>
            <c:ext xmlns:c16="http://schemas.microsoft.com/office/drawing/2014/chart" uri="{C3380CC4-5D6E-409C-BE32-E72D297353CC}">
              <c16:uniqueId val="{00000004-34C6-4A04-92C7-3C7BD31A503B}"/>
            </c:ext>
          </c:extLst>
        </c:ser>
        <c:ser>
          <c:idx val="1"/>
          <c:order val="1"/>
          <c:tx>
            <c:strRef>
              <c:f>Charts!$D$3</c:f>
              <c:strCache>
                <c:ptCount val="1"/>
                <c:pt idx="0">
                  <c:v>Northern Ireland </c:v>
                </c:pt>
              </c:strCache>
            </c:strRef>
          </c:tx>
          <c:spPr>
            <a:ln w="28575" cap="rnd">
              <a:solidFill>
                <a:schemeClr val="accent2"/>
              </a:solidFill>
              <a:round/>
            </a:ln>
            <a:effectLst/>
          </c:spPr>
          <c:marker>
            <c:symbol val="none"/>
          </c:marker>
          <c:dLbls>
            <c:dLbl>
              <c:idx val="0"/>
              <c:layout>
                <c:manualLayout>
                  <c:x val="-8.396347445475813E-2"/>
                  <c:y val="-6.0319473079578828E-2"/>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4C6-4A04-92C7-3C7BD31A503B}"/>
                </c:ext>
              </c:extLst>
            </c:dLbl>
            <c:dLbl>
              <c:idx val="10"/>
              <c:dLblPos val="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4C6-4A04-92C7-3C7BD31A503B}"/>
                </c:ext>
              </c:extLst>
            </c:dLbl>
            <c:dLbl>
              <c:idx val="32"/>
              <c:layout>
                <c:manualLayout>
                  <c:x val="-4.8826503660101182E-2"/>
                  <c:y val="-5.7953309443154133E-2"/>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4C6-4A04-92C7-3C7BD31A503B}"/>
                </c:ext>
              </c:extLst>
            </c:dLbl>
            <c:dLbl>
              <c:idx val="78"/>
              <c:layout>
                <c:manualLayout>
                  <c:x val="0"/>
                  <c:y val="-1.90170541422643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4C6-4A04-92C7-3C7BD31A503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Charts!$A$4:$B$82</c:f>
              <c:multiLvlStrCache>
                <c:ptCount val="79"/>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pt idx="15">
                    <c:v>Q4</c:v>
                  </c:pt>
                  <c:pt idx="16">
                    <c:v>Q1</c:v>
                  </c:pt>
                  <c:pt idx="17">
                    <c:v>Q2</c:v>
                  </c:pt>
                  <c:pt idx="18">
                    <c:v>Q3</c:v>
                  </c:pt>
                  <c:pt idx="19">
                    <c:v>Q4</c:v>
                  </c:pt>
                  <c:pt idx="20">
                    <c:v>Q1</c:v>
                  </c:pt>
                  <c:pt idx="21">
                    <c:v>Q2</c:v>
                  </c:pt>
                  <c:pt idx="22">
                    <c:v>Q3</c:v>
                  </c:pt>
                  <c:pt idx="23">
                    <c:v>Q4</c:v>
                  </c:pt>
                  <c:pt idx="24">
                    <c:v>Q1</c:v>
                  </c:pt>
                  <c:pt idx="25">
                    <c:v>Q2</c:v>
                  </c:pt>
                  <c:pt idx="26">
                    <c:v>Q3</c:v>
                  </c:pt>
                  <c:pt idx="27">
                    <c:v>Q4</c:v>
                  </c:pt>
                  <c:pt idx="28">
                    <c:v>Q1</c:v>
                  </c:pt>
                  <c:pt idx="29">
                    <c:v>Q2</c:v>
                  </c:pt>
                  <c:pt idx="30">
                    <c:v>Q3</c:v>
                  </c:pt>
                  <c:pt idx="31">
                    <c:v>Q4</c:v>
                  </c:pt>
                  <c:pt idx="32">
                    <c:v>Q1</c:v>
                  </c:pt>
                  <c:pt idx="33">
                    <c:v>Q2</c:v>
                  </c:pt>
                  <c:pt idx="34">
                    <c:v>Q3</c:v>
                  </c:pt>
                  <c:pt idx="35">
                    <c:v>Q4</c:v>
                  </c:pt>
                  <c:pt idx="36">
                    <c:v>Q1</c:v>
                  </c:pt>
                  <c:pt idx="37">
                    <c:v>Q2</c:v>
                  </c:pt>
                  <c:pt idx="38">
                    <c:v>Q3</c:v>
                  </c:pt>
                  <c:pt idx="39">
                    <c:v>Q4</c:v>
                  </c:pt>
                  <c:pt idx="40">
                    <c:v>Q1</c:v>
                  </c:pt>
                  <c:pt idx="41">
                    <c:v>Q2</c:v>
                  </c:pt>
                  <c:pt idx="42">
                    <c:v>Q3</c:v>
                  </c:pt>
                  <c:pt idx="43">
                    <c:v>Q4</c:v>
                  </c:pt>
                  <c:pt idx="44">
                    <c:v>Q1</c:v>
                  </c:pt>
                  <c:pt idx="45">
                    <c:v>Q2</c:v>
                  </c:pt>
                  <c:pt idx="46">
                    <c:v>Q3</c:v>
                  </c:pt>
                  <c:pt idx="47">
                    <c:v>Q4</c:v>
                  </c:pt>
                  <c:pt idx="48">
                    <c:v>Q1</c:v>
                  </c:pt>
                  <c:pt idx="49">
                    <c:v>Q2</c:v>
                  </c:pt>
                  <c:pt idx="50">
                    <c:v>Q3</c:v>
                  </c:pt>
                  <c:pt idx="51">
                    <c:v>Q4</c:v>
                  </c:pt>
                  <c:pt idx="52">
                    <c:v>Q1</c:v>
                  </c:pt>
                  <c:pt idx="53">
                    <c:v>Q2</c:v>
                  </c:pt>
                  <c:pt idx="54">
                    <c:v>Q3</c:v>
                  </c:pt>
                  <c:pt idx="55">
                    <c:v>Q4</c:v>
                  </c:pt>
                  <c:pt idx="56">
                    <c:v>Q1</c:v>
                  </c:pt>
                  <c:pt idx="57">
                    <c:v>Q2</c:v>
                  </c:pt>
                  <c:pt idx="58">
                    <c:v>Q3</c:v>
                  </c:pt>
                  <c:pt idx="59">
                    <c:v>Q4</c:v>
                  </c:pt>
                  <c:pt idx="60">
                    <c:v>Q1</c:v>
                  </c:pt>
                  <c:pt idx="61">
                    <c:v>Q2</c:v>
                  </c:pt>
                  <c:pt idx="62">
                    <c:v>Q3</c:v>
                  </c:pt>
                  <c:pt idx="63">
                    <c:v>Q4</c:v>
                  </c:pt>
                  <c:pt idx="64">
                    <c:v>Q1</c:v>
                  </c:pt>
                  <c:pt idx="65">
                    <c:v>Q2</c:v>
                  </c:pt>
                  <c:pt idx="66">
                    <c:v>Q3</c:v>
                  </c:pt>
                  <c:pt idx="67">
                    <c:v>Q4</c:v>
                  </c:pt>
                  <c:pt idx="68">
                    <c:v>Q1</c:v>
                  </c:pt>
                  <c:pt idx="69">
                    <c:v>Q2</c:v>
                  </c:pt>
                  <c:pt idx="70">
                    <c:v>Q3</c:v>
                  </c:pt>
                  <c:pt idx="71">
                    <c:v>Q4</c:v>
                  </c:pt>
                  <c:pt idx="72">
                    <c:v>Q1</c:v>
                  </c:pt>
                  <c:pt idx="73">
                    <c:v>Q2</c:v>
                  </c:pt>
                  <c:pt idx="74">
                    <c:v>Q3</c:v>
                  </c:pt>
                  <c:pt idx="75">
                    <c:v>Q4</c:v>
                  </c:pt>
                  <c:pt idx="76">
                    <c:v>Q1</c:v>
                  </c:pt>
                  <c:pt idx="77">
                    <c:v>Q2</c:v>
                  </c:pt>
                  <c:pt idx="78">
                    <c:v>Q3</c:v>
                  </c:pt>
                </c:lvl>
                <c:lvl>
                  <c:pt idx="0">
                    <c:v>2005</c:v>
                  </c:pt>
                  <c:pt idx="4">
                    <c:v>2006</c:v>
                  </c:pt>
                  <c:pt idx="8">
                    <c:v>2007</c:v>
                  </c:pt>
                  <c:pt idx="12">
                    <c:v>2008</c:v>
                  </c:pt>
                  <c:pt idx="16">
                    <c:v>2009</c:v>
                  </c:pt>
                  <c:pt idx="20">
                    <c:v>2010</c:v>
                  </c:pt>
                  <c:pt idx="24">
                    <c:v>2011</c:v>
                  </c:pt>
                  <c:pt idx="28">
                    <c:v>2012</c:v>
                  </c:pt>
                  <c:pt idx="32">
                    <c:v>2013</c:v>
                  </c:pt>
                  <c:pt idx="36">
                    <c:v>2014</c:v>
                  </c:pt>
                  <c:pt idx="40">
                    <c:v>2015</c:v>
                  </c:pt>
                  <c:pt idx="44">
                    <c:v>2016</c:v>
                  </c:pt>
                  <c:pt idx="48">
                    <c:v>2017</c:v>
                  </c:pt>
                  <c:pt idx="52">
                    <c:v>2018</c:v>
                  </c:pt>
                  <c:pt idx="56">
                    <c:v>2019</c:v>
                  </c:pt>
                  <c:pt idx="60">
                    <c:v>2020</c:v>
                  </c:pt>
                  <c:pt idx="64">
                    <c:v>2021</c:v>
                  </c:pt>
                  <c:pt idx="68">
                    <c:v>2022</c:v>
                  </c:pt>
                  <c:pt idx="72">
                    <c:v>2023</c:v>
                  </c:pt>
                  <c:pt idx="76">
                    <c:v>2024</c:v>
                  </c:pt>
                </c:lvl>
              </c:multiLvlStrCache>
            </c:multiLvlStrRef>
          </c:cat>
          <c:val>
            <c:numRef>
              <c:f>Charts!$D$4:$D$82</c:f>
              <c:numCache>
                <c:formatCode>"£"#,##0</c:formatCode>
                <c:ptCount val="79"/>
                <c:pt idx="0">
                  <c:v>111920.26819869205</c:v>
                </c:pt>
                <c:pt idx="1">
                  <c:v>116004.03163855149</c:v>
                </c:pt>
                <c:pt idx="2">
                  <c:v>123386.35267297665</c:v>
                </c:pt>
                <c:pt idx="3">
                  <c:v>127674.1438647139</c:v>
                </c:pt>
                <c:pt idx="4">
                  <c:v>131302.06442184211</c:v>
                </c:pt>
                <c:pt idx="5">
                  <c:v>143918.23693630603</c:v>
                </c:pt>
                <c:pt idx="6">
                  <c:v>160529.45994991984</c:v>
                </c:pt>
                <c:pt idx="7">
                  <c:v>179841.18252036042</c:v>
                </c:pt>
                <c:pt idx="8">
                  <c:v>198950.44217528385</c:v>
                </c:pt>
                <c:pt idx="9">
                  <c:v>216751.02924711473</c:v>
                </c:pt>
                <c:pt idx="10">
                  <c:v>224669.97756731114</c:v>
                </c:pt>
                <c:pt idx="11">
                  <c:v>214269.00343717911</c:v>
                </c:pt>
                <c:pt idx="12">
                  <c:v>198361.81216154178</c:v>
                </c:pt>
                <c:pt idx="13">
                  <c:v>185844.82288421385</c:v>
                </c:pt>
                <c:pt idx="14">
                  <c:v>168075.93242384066</c:v>
                </c:pt>
                <c:pt idx="15">
                  <c:v>153774.10360004296</c:v>
                </c:pt>
                <c:pt idx="16">
                  <c:v>140189.96582103145</c:v>
                </c:pt>
                <c:pt idx="17">
                  <c:v>141488.69401023118</c:v>
                </c:pt>
                <c:pt idx="18">
                  <c:v>141863.99364271419</c:v>
                </c:pt>
                <c:pt idx="19">
                  <c:v>141993.77881746896</c:v>
                </c:pt>
                <c:pt idx="20">
                  <c:v>135701.48072005805</c:v>
                </c:pt>
                <c:pt idx="21">
                  <c:v>134514.84506542984</c:v>
                </c:pt>
                <c:pt idx="22">
                  <c:v>132163.50872536417</c:v>
                </c:pt>
                <c:pt idx="23">
                  <c:v>124515.07749212153</c:v>
                </c:pt>
                <c:pt idx="24">
                  <c:v>119023.87640911473</c:v>
                </c:pt>
                <c:pt idx="25">
                  <c:v>117142.39859752222</c:v>
                </c:pt>
                <c:pt idx="26">
                  <c:v>115107.89875652014</c:v>
                </c:pt>
                <c:pt idx="27">
                  <c:v>111871.00962691213</c:v>
                </c:pt>
                <c:pt idx="28">
                  <c:v>104711.74662578963</c:v>
                </c:pt>
                <c:pt idx="29">
                  <c:v>104986.80671371793</c:v>
                </c:pt>
                <c:pt idx="30">
                  <c:v>102085.76428257758</c:v>
                </c:pt>
                <c:pt idx="31">
                  <c:v>99646.637347324664</c:v>
                </c:pt>
                <c:pt idx="32">
                  <c:v>97428.393655615102</c:v>
                </c:pt>
                <c:pt idx="33">
                  <c:v>99229.408782896411</c:v>
                </c:pt>
                <c:pt idx="34">
                  <c:v>101164.64267660079</c:v>
                </c:pt>
                <c:pt idx="35">
                  <c:v>101879.40133423483</c:v>
                </c:pt>
                <c:pt idx="36">
                  <c:v>103570.19750164192</c:v>
                </c:pt>
                <c:pt idx="37">
                  <c:v>107030.74694536967</c:v>
                </c:pt>
                <c:pt idx="38">
                  <c:v>109116.2501607274</c:v>
                </c:pt>
                <c:pt idx="39">
                  <c:v>110749.9855063017</c:v>
                </c:pt>
                <c:pt idx="40">
                  <c:v>110939.9946309642</c:v>
                </c:pt>
                <c:pt idx="41">
                  <c:v>114340.19203709823</c:v>
                </c:pt>
                <c:pt idx="42">
                  <c:v>117715.63723949957</c:v>
                </c:pt>
                <c:pt idx="43">
                  <c:v>118755.51727894566</c:v>
                </c:pt>
                <c:pt idx="44">
                  <c:v>118850.75151991763</c:v>
                </c:pt>
                <c:pt idx="45">
                  <c:v>123249.19552948477</c:v>
                </c:pt>
                <c:pt idx="46">
                  <c:v>124730.53721297663</c:v>
                </c:pt>
                <c:pt idx="47">
                  <c:v>125059.11416568109</c:v>
                </c:pt>
                <c:pt idx="48">
                  <c:v>124785.78943466081</c:v>
                </c:pt>
                <c:pt idx="49">
                  <c:v>127178.49989129115</c:v>
                </c:pt>
                <c:pt idx="50">
                  <c:v>128877.91395542804</c:v>
                </c:pt>
                <c:pt idx="51">
                  <c:v>129601.39116616375</c:v>
                </c:pt>
                <c:pt idx="52">
                  <c:v>130291.68571023059</c:v>
                </c:pt>
                <c:pt idx="53">
                  <c:v>132094.99883251186</c:v>
                </c:pt>
                <c:pt idx="54">
                  <c:v>134619.30052550047</c:v>
                </c:pt>
                <c:pt idx="55">
                  <c:v>136763.9175440172</c:v>
                </c:pt>
                <c:pt idx="56">
                  <c:v>135433.74707131617</c:v>
                </c:pt>
                <c:pt idx="57">
                  <c:v>136960.03800043007</c:v>
                </c:pt>
                <c:pt idx="58">
                  <c:v>139837.61845941099</c:v>
                </c:pt>
                <c:pt idx="59">
                  <c:v>140141.46782932917</c:v>
                </c:pt>
                <c:pt idx="60">
                  <c:v>140722.47998757396</c:v>
                </c:pt>
                <c:pt idx="61">
                  <c:v>140841.26401707085</c:v>
                </c:pt>
                <c:pt idx="62">
                  <c:v>143722.97243827983</c:v>
                </c:pt>
                <c:pt idx="63">
                  <c:v>147474.56170740083</c:v>
                </c:pt>
                <c:pt idx="64">
                  <c:v>149084.30604028914</c:v>
                </c:pt>
                <c:pt idx="65">
                  <c:v>154323.13464294956</c:v>
                </c:pt>
                <c:pt idx="66">
                  <c:v>159097.51968494448</c:v>
                </c:pt>
                <c:pt idx="67">
                  <c:v>159073.04592867231</c:v>
                </c:pt>
                <c:pt idx="68">
                  <c:v>163876.8747738266</c:v>
                </c:pt>
                <c:pt idx="69">
                  <c:v>169295.5000485589</c:v>
                </c:pt>
                <c:pt idx="70">
                  <c:v>175793.43016559762</c:v>
                </c:pt>
                <c:pt idx="71">
                  <c:v>175123.51252082817</c:v>
                </c:pt>
                <c:pt idx="72">
                  <c:v>171689.25793701611</c:v>
                </c:pt>
                <c:pt idx="73">
                  <c:v>173917.31918806917</c:v>
                </c:pt>
                <c:pt idx="74">
                  <c:v>179347.623051826</c:v>
                </c:pt>
                <c:pt idx="75">
                  <c:v>177689.74046005908</c:v>
                </c:pt>
                <c:pt idx="76">
                  <c:v>178643.37930252487</c:v>
                </c:pt>
                <c:pt idx="77">
                  <c:v>185397.33497173683</c:v>
                </c:pt>
                <c:pt idx="78">
                  <c:v>190552.9299612075</c:v>
                </c:pt>
              </c:numCache>
            </c:numRef>
          </c:val>
          <c:smooth val="0"/>
          <c:extLst>
            <c:ext xmlns:c16="http://schemas.microsoft.com/office/drawing/2014/chart" uri="{C3380CC4-5D6E-409C-BE32-E72D297353CC}">
              <c16:uniqueId val="{00000009-34C6-4A04-92C7-3C7BD31A503B}"/>
            </c:ext>
          </c:extLst>
        </c:ser>
        <c:dLbls>
          <c:showLegendKey val="0"/>
          <c:showVal val="0"/>
          <c:showCatName val="0"/>
          <c:showSerName val="0"/>
          <c:showPercent val="0"/>
          <c:showBubbleSize val="0"/>
        </c:dLbls>
        <c:smooth val="0"/>
        <c:axId val="1274926176"/>
        <c:axId val="1274928096"/>
      </c:lineChart>
      <c:catAx>
        <c:axId val="1274926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4928096"/>
        <c:crosses val="autoZero"/>
        <c:auto val="1"/>
        <c:lblAlgn val="ctr"/>
        <c:lblOffset val="100"/>
        <c:noMultiLvlLbl val="0"/>
      </c:catAx>
      <c:valAx>
        <c:axId val="1274928096"/>
        <c:scaling>
          <c:orientation val="minMax"/>
        </c:scaling>
        <c:delete val="0"/>
        <c:axPos val="l"/>
        <c:majorGridlines>
          <c:spPr>
            <a:ln w="9525" cap="flat" cmpd="sng" algn="ctr">
              <a:solidFill>
                <a:schemeClr val="tx1">
                  <a:lumMod val="15000"/>
                  <a:lumOff val="85000"/>
                </a:schemeClr>
              </a:solidFill>
              <a:prstDash val="lgDashDotDot"/>
              <a:round/>
            </a:ln>
            <a:effectLst/>
          </c:spPr>
        </c:majorGridlines>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4926176"/>
        <c:crosses val="autoZero"/>
        <c:crossBetween val="between"/>
      </c:valAx>
      <c:spPr>
        <a:noFill/>
        <a:ln>
          <a:noFill/>
        </a:ln>
        <a:effectLst/>
      </c:spPr>
    </c:plotArea>
    <c:legend>
      <c:legendPos val="b"/>
      <c:layout>
        <c:manualLayout>
          <c:xMode val="edge"/>
          <c:yMode val="edge"/>
          <c:x val="0.53953878685066736"/>
          <c:y val="0.78497460007176723"/>
          <c:w val="0.43863549672221747"/>
          <c:h val="8.488639992487895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4798716827063286E-2"/>
          <c:y val="2.4310733284456636E-2"/>
          <c:w val="0.93998681831437736"/>
          <c:h val="0.8748844718105997"/>
        </c:manualLayout>
      </c:layout>
      <c:lineChart>
        <c:grouping val="standard"/>
        <c:varyColors val="0"/>
        <c:ser>
          <c:idx val="0"/>
          <c:order val="0"/>
          <c:tx>
            <c:strRef>
              <c:f>Charts!$I$3</c:f>
              <c:strCache>
                <c:ptCount val="1"/>
                <c:pt idx="0">
                  <c:v>Armagh City, Banbridge and Craigavon </c:v>
                </c:pt>
              </c:strCache>
            </c:strRef>
          </c:tx>
          <c:spPr>
            <a:ln w="28575" cap="rnd">
              <a:solidFill>
                <a:schemeClr val="accent1"/>
              </a:solidFill>
              <a:round/>
            </a:ln>
            <a:effectLst/>
          </c:spPr>
          <c:marker>
            <c:symbol val="none"/>
          </c:marker>
          <c:cat>
            <c:multiLvlStrRef>
              <c:f>Charts!$G$4:$H$82</c:f>
              <c:multiLvlStrCache>
                <c:ptCount val="79"/>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pt idx="15">
                    <c:v>Q4</c:v>
                  </c:pt>
                  <c:pt idx="16">
                    <c:v>Q1</c:v>
                  </c:pt>
                  <c:pt idx="17">
                    <c:v>Q2</c:v>
                  </c:pt>
                  <c:pt idx="18">
                    <c:v>Q3</c:v>
                  </c:pt>
                  <c:pt idx="19">
                    <c:v>Q4</c:v>
                  </c:pt>
                  <c:pt idx="20">
                    <c:v>Q1</c:v>
                  </c:pt>
                  <c:pt idx="21">
                    <c:v>Q2</c:v>
                  </c:pt>
                  <c:pt idx="22">
                    <c:v>Q3</c:v>
                  </c:pt>
                  <c:pt idx="23">
                    <c:v>Q4</c:v>
                  </c:pt>
                  <c:pt idx="24">
                    <c:v>Q1</c:v>
                  </c:pt>
                  <c:pt idx="25">
                    <c:v>Q2</c:v>
                  </c:pt>
                  <c:pt idx="26">
                    <c:v>Q3</c:v>
                  </c:pt>
                  <c:pt idx="27">
                    <c:v>Q4</c:v>
                  </c:pt>
                  <c:pt idx="28">
                    <c:v>Q1</c:v>
                  </c:pt>
                  <c:pt idx="29">
                    <c:v>Q2</c:v>
                  </c:pt>
                  <c:pt idx="30">
                    <c:v>Q3</c:v>
                  </c:pt>
                  <c:pt idx="31">
                    <c:v>Q4</c:v>
                  </c:pt>
                  <c:pt idx="32">
                    <c:v>Q1</c:v>
                  </c:pt>
                  <c:pt idx="33">
                    <c:v>Q2</c:v>
                  </c:pt>
                  <c:pt idx="34">
                    <c:v>Q3</c:v>
                  </c:pt>
                  <c:pt idx="35">
                    <c:v>Q4</c:v>
                  </c:pt>
                  <c:pt idx="36">
                    <c:v>Q1</c:v>
                  </c:pt>
                  <c:pt idx="37">
                    <c:v>Q2</c:v>
                  </c:pt>
                  <c:pt idx="38">
                    <c:v>Q3</c:v>
                  </c:pt>
                  <c:pt idx="39">
                    <c:v>Q4</c:v>
                  </c:pt>
                  <c:pt idx="40">
                    <c:v>Q1</c:v>
                  </c:pt>
                  <c:pt idx="41">
                    <c:v>Q2</c:v>
                  </c:pt>
                  <c:pt idx="42">
                    <c:v>Q3</c:v>
                  </c:pt>
                  <c:pt idx="43">
                    <c:v>Q4</c:v>
                  </c:pt>
                  <c:pt idx="44">
                    <c:v>Q1</c:v>
                  </c:pt>
                  <c:pt idx="45">
                    <c:v>Q2</c:v>
                  </c:pt>
                  <c:pt idx="46">
                    <c:v>Q3</c:v>
                  </c:pt>
                  <c:pt idx="47">
                    <c:v>Q4</c:v>
                  </c:pt>
                  <c:pt idx="48">
                    <c:v>Q1</c:v>
                  </c:pt>
                  <c:pt idx="49">
                    <c:v>Q2</c:v>
                  </c:pt>
                  <c:pt idx="50">
                    <c:v>Q3</c:v>
                  </c:pt>
                  <c:pt idx="51">
                    <c:v>Q4</c:v>
                  </c:pt>
                  <c:pt idx="52">
                    <c:v>Q1</c:v>
                  </c:pt>
                  <c:pt idx="53">
                    <c:v>Q2</c:v>
                  </c:pt>
                  <c:pt idx="54">
                    <c:v>Q3</c:v>
                  </c:pt>
                  <c:pt idx="55">
                    <c:v>Q4</c:v>
                  </c:pt>
                  <c:pt idx="56">
                    <c:v>Q1</c:v>
                  </c:pt>
                  <c:pt idx="57">
                    <c:v>Q2</c:v>
                  </c:pt>
                  <c:pt idx="58">
                    <c:v>Q3</c:v>
                  </c:pt>
                  <c:pt idx="59">
                    <c:v>Q4</c:v>
                  </c:pt>
                  <c:pt idx="60">
                    <c:v>Q1</c:v>
                  </c:pt>
                  <c:pt idx="61">
                    <c:v>Q2</c:v>
                  </c:pt>
                  <c:pt idx="62">
                    <c:v>Q3</c:v>
                  </c:pt>
                  <c:pt idx="63">
                    <c:v>Q4</c:v>
                  </c:pt>
                  <c:pt idx="64">
                    <c:v>Q1</c:v>
                  </c:pt>
                  <c:pt idx="65">
                    <c:v>Q2</c:v>
                  </c:pt>
                  <c:pt idx="66">
                    <c:v>Q3</c:v>
                  </c:pt>
                  <c:pt idx="67">
                    <c:v>Q4</c:v>
                  </c:pt>
                  <c:pt idx="68">
                    <c:v>Q1</c:v>
                  </c:pt>
                  <c:pt idx="69">
                    <c:v>Q2</c:v>
                  </c:pt>
                  <c:pt idx="70">
                    <c:v>Q3</c:v>
                  </c:pt>
                  <c:pt idx="71">
                    <c:v>Q4</c:v>
                  </c:pt>
                  <c:pt idx="72">
                    <c:v>Q1</c:v>
                  </c:pt>
                  <c:pt idx="73">
                    <c:v>Q2</c:v>
                  </c:pt>
                  <c:pt idx="74">
                    <c:v>Q3</c:v>
                  </c:pt>
                  <c:pt idx="75">
                    <c:v>Q4</c:v>
                  </c:pt>
                  <c:pt idx="76">
                    <c:v>Q1</c:v>
                  </c:pt>
                  <c:pt idx="77">
                    <c:v>Q2</c:v>
                  </c:pt>
                  <c:pt idx="78">
                    <c:v>Q3</c:v>
                  </c:pt>
                </c:lvl>
                <c:lvl>
                  <c:pt idx="0">
                    <c:v>2005</c:v>
                  </c:pt>
                  <c:pt idx="4">
                    <c:v>2006</c:v>
                  </c:pt>
                  <c:pt idx="8">
                    <c:v>2007</c:v>
                  </c:pt>
                  <c:pt idx="12">
                    <c:v>2008</c:v>
                  </c:pt>
                  <c:pt idx="16">
                    <c:v>2009</c:v>
                  </c:pt>
                  <c:pt idx="20">
                    <c:v>2010</c:v>
                  </c:pt>
                  <c:pt idx="24">
                    <c:v>2011</c:v>
                  </c:pt>
                  <c:pt idx="28">
                    <c:v>2012</c:v>
                  </c:pt>
                  <c:pt idx="32">
                    <c:v>2013</c:v>
                  </c:pt>
                  <c:pt idx="36">
                    <c:v>2014</c:v>
                  </c:pt>
                  <c:pt idx="40">
                    <c:v>2015</c:v>
                  </c:pt>
                  <c:pt idx="44">
                    <c:v>2016</c:v>
                  </c:pt>
                  <c:pt idx="48">
                    <c:v>2017</c:v>
                  </c:pt>
                  <c:pt idx="52">
                    <c:v>2018</c:v>
                  </c:pt>
                  <c:pt idx="56">
                    <c:v>2019</c:v>
                  </c:pt>
                  <c:pt idx="60">
                    <c:v>2020</c:v>
                  </c:pt>
                  <c:pt idx="64">
                    <c:v>2021</c:v>
                  </c:pt>
                  <c:pt idx="68">
                    <c:v>2022</c:v>
                  </c:pt>
                  <c:pt idx="72">
                    <c:v>2023</c:v>
                  </c:pt>
                  <c:pt idx="76">
                    <c:v>2024</c:v>
                  </c:pt>
                </c:lvl>
              </c:multiLvlStrCache>
            </c:multiLvlStrRef>
          </c:cat>
          <c:val>
            <c:numRef>
              <c:f>Charts!$I$4:$I$82</c:f>
              <c:numCache>
                <c:formatCode>0.0</c:formatCode>
                <c:ptCount val="79"/>
                <c:pt idx="0">
                  <c:v>102.24559738107966</c:v>
                </c:pt>
                <c:pt idx="1">
                  <c:v>106.32584261265296</c:v>
                </c:pt>
                <c:pt idx="2">
                  <c:v>110.00621247764278</c:v>
                </c:pt>
                <c:pt idx="3">
                  <c:v>116.07303137894449</c:v>
                </c:pt>
                <c:pt idx="4">
                  <c:v>121.83105811348953</c:v>
                </c:pt>
                <c:pt idx="5">
                  <c:v>134.55105767712107</c:v>
                </c:pt>
                <c:pt idx="6">
                  <c:v>151.43306958322339</c:v>
                </c:pt>
                <c:pt idx="7">
                  <c:v>173.24045663074406</c:v>
                </c:pt>
                <c:pt idx="8">
                  <c:v>197.22696827683262</c:v>
                </c:pt>
                <c:pt idx="9">
                  <c:v>210.78425958829209</c:v>
                </c:pt>
                <c:pt idx="10">
                  <c:v>215.13840998535409</c:v>
                </c:pt>
                <c:pt idx="11">
                  <c:v>192.89542295891843</c:v>
                </c:pt>
                <c:pt idx="12">
                  <c:v>187.15910930580824</c:v>
                </c:pt>
                <c:pt idx="13">
                  <c:v>163.98193410679892</c:v>
                </c:pt>
                <c:pt idx="14">
                  <c:v>148.60733504164529</c:v>
                </c:pt>
                <c:pt idx="15">
                  <c:v>140.96700315209668</c:v>
                </c:pt>
                <c:pt idx="16">
                  <c:v>126.9389804671341</c:v>
                </c:pt>
                <c:pt idx="17">
                  <c:v>130.10593920027296</c:v>
                </c:pt>
                <c:pt idx="18">
                  <c:v>126.87400149872146</c:v>
                </c:pt>
                <c:pt idx="19">
                  <c:v>125.20225492688395</c:v>
                </c:pt>
                <c:pt idx="20">
                  <c:v>122.1676348695609</c:v>
                </c:pt>
                <c:pt idx="21">
                  <c:v>117.9766700686109</c:v>
                </c:pt>
                <c:pt idx="22">
                  <c:v>118.91231931448448</c:v>
                </c:pt>
                <c:pt idx="23">
                  <c:v>114.2051887057515</c:v>
                </c:pt>
                <c:pt idx="24">
                  <c:v>110.14703484192772</c:v>
                </c:pt>
                <c:pt idx="25">
                  <c:v>102.43362579610493</c:v>
                </c:pt>
                <c:pt idx="26">
                  <c:v>104.61676299488478</c:v>
                </c:pt>
                <c:pt idx="27">
                  <c:v>99.529573240713518</c:v>
                </c:pt>
                <c:pt idx="28">
                  <c:v>95.406547475032127</c:v>
                </c:pt>
                <c:pt idx="29">
                  <c:v>94.712698632960993</c:v>
                </c:pt>
                <c:pt idx="30">
                  <c:v>88.040694397730022</c:v>
                </c:pt>
                <c:pt idx="31">
                  <c:v>85.752307515015517</c:v>
                </c:pt>
                <c:pt idx="32">
                  <c:v>86.398660536086552</c:v>
                </c:pt>
                <c:pt idx="33">
                  <c:v>88.021084069564253</c:v>
                </c:pt>
                <c:pt idx="34">
                  <c:v>88.772804427640011</c:v>
                </c:pt>
                <c:pt idx="35">
                  <c:v>92.053996209789901</c:v>
                </c:pt>
                <c:pt idx="36">
                  <c:v>92.758829340465255</c:v>
                </c:pt>
                <c:pt idx="37">
                  <c:v>94.659352908319917</c:v>
                </c:pt>
                <c:pt idx="38">
                  <c:v>96.971038211268279</c:v>
                </c:pt>
                <c:pt idx="39">
                  <c:v>99.20677104436318</c:v>
                </c:pt>
                <c:pt idx="40">
                  <c:v>100</c:v>
                </c:pt>
                <c:pt idx="41">
                  <c:v>102.26998328877156</c:v>
                </c:pt>
                <c:pt idx="42">
                  <c:v>105.65820667643754</c:v>
                </c:pt>
                <c:pt idx="43">
                  <c:v>108.23375077874387</c:v>
                </c:pt>
                <c:pt idx="44">
                  <c:v>109.2601140287241</c:v>
                </c:pt>
                <c:pt idx="45">
                  <c:v>112.95699920637601</c:v>
                </c:pt>
                <c:pt idx="46">
                  <c:v>111.88859439018553</c:v>
                </c:pt>
                <c:pt idx="47">
                  <c:v>112.99791376550886</c:v>
                </c:pt>
                <c:pt idx="48">
                  <c:v>115.51688413600571</c:v>
                </c:pt>
                <c:pt idx="49">
                  <c:v>115.24234122700992</c:v>
                </c:pt>
                <c:pt idx="50">
                  <c:v>115.83554779262595</c:v>
                </c:pt>
                <c:pt idx="51">
                  <c:v>117.99743168866253</c:v>
                </c:pt>
                <c:pt idx="52">
                  <c:v>117.72351893286486</c:v>
                </c:pt>
                <c:pt idx="53">
                  <c:v>118.73841708185002</c:v>
                </c:pt>
                <c:pt idx="54">
                  <c:v>118.43294160470892</c:v>
                </c:pt>
                <c:pt idx="55">
                  <c:v>121.66651679597361</c:v>
                </c:pt>
                <c:pt idx="56">
                  <c:v>122.57112869007661</c:v>
                </c:pt>
                <c:pt idx="57">
                  <c:v>121.66583470474986</c:v>
                </c:pt>
                <c:pt idx="58">
                  <c:v>126.06918847416435</c:v>
                </c:pt>
                <c:pt idx="59">
                  <c:v>125.83610066659756</c:v>
                </c:pt>
                <c:pt idx="60">
                  <c:v>126.42351845927695</c:v>
                </c:pt>
                <c:pt idx="61">
                  <c:v>127.12739218963911</c:v>
                </c:pt>
                <c:pt idx="62">
                  <c:v>128.57219690949017</c:v>
                </c:pt>
                <c:pt idx="63">
                  <c:v>130.8578657044165</c:v>
                </c:pt>
                <c:pt idx="64">
                  <c:v>130.38265756938426</c:v>
                </c:pt>
                <c:pt idx="65">
                  <c:v>137.43926450587807</c:v>
                </c:pt>
                <c:pt idx="66">
                  <c:v>143.57405562104458</c:v>
                </c:pt>
                <c:pt idx="67">
                  <c:v>142.19888245637068</c:v>
                </c:pt>
                <c:pt idx="68">
                  <c:v>147.9516160405577</c:v>
                </c:pt>
                <c:pt idx="69">
                  <c:v>152.96278446081999</c:v>
                </c:pt>
                <c:pt idx="70">
                  <c:v>159.43330881132832</c:v>
                </c:pt>
                <c:pt idx="71">
                  <c:v>158.31667752346078</c:v>
                </c:pt>
                <c:pt idx="72">
                  <c:v>156.91144317025612</c:v>
                </c:pt>
                <c:pt idx="73">
                  <c:v>155.95827858585585</c:v>
                </c:pt>
                <c:pt idx="74">
                  <c:v>164.65776072798198</c:v>
                </c:pt>
                <c:pt idx="75">
                  <c:v>161.91673932736208</c:v>
                </c:pt>
                <c:pt idx="76">
                  <c:v>163.80966589306411</c:v>
                </c:pt>
                <c:pt idx="77">
                  <c:v>168.83542872161743</c:v>
                </c:pt>
                <c:pt idx="78">
                  <c:v>171.86205988656926</c:v>
                </c:pt>
              </c:numCache>
            </c:numRef>
          </c:val>
          <c:smooth val="0"/>
          <c:extLst>
            <c:ext xmlns:c16="http://schemas.microsoft.com/office/drawing/2014/chart" uri="{C3380CC4-5D6E-409C-BE32-E72D297353CC}">
              <c16:uniqueId val="{00000000-1C05-4884-BD63-B488CD245EAC}"/>
            </c:ext>
          </c:extLst>
        </c:ser>
        <c:ser>
          <c:idx val="1"/>
          <c:order val="1"/>
          <c:tx>
            <c:strRef>
              <c:f>Charts!$J$3</c:f>
              <c:strCache>
                <c:ptCount val="1"/>
                <c:pt idx="0">
                  <c:v>Northern Ireland </c:v>
                </c:pt>
              </c:strCache>
            </c:strRef>
          </c:tx>
          <c:spPr>
            <a:ln w="28575" cap="rnd">
              <a:solidFill>
                <a:schemeClr val="accent2"/>
              </a:solidFill>
              <a:round/>
            </a:ln>
            <a:effectLst/>
          </c:spPr>
          <c:marker>
            <c:symbol val="none"/>
          </c:marker>
          <c:cat>
            <c:multiLvlStrRef>
              <c:f>Charts!$G$4:$H$82</c:f>
              <c:multiLvlStrCache>
                <c:ptCount val="79"/>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pt idx="15">
                    <c:v>Q4</c:v>
                  </c:pt>
                  <c:pt idx="16">
                    <c:v>Q1</c:v>
                  </c:pt>
                  <c:pt idx="17">
                    <c:v>Q2</c:v>
                  </c:pt>
                  <c:pt idx="18">
                    <c:v>Q3</c:v>
                  </c:pt>
                  <c:pt idx="19">
                    <c:v>Q4</c:v>
                  </c:pt>
                  <c:pt idx="20">
                    <c:v>Q1</c:v>
                  </c:pt>
                  <c:pt idx="21">
                    <c:v>Q2</c:v>
                  </c:pt>
                  <c:pt idx="22">
                    <c:v>Q3</c:v>
                  </c:pt>
                  <c:pt idx="23">
                    <c:v>Q4</c:v>
                  </c:pt>
                  <c:pt idx="24">
                    <c:v>Q1</c:v>
                  </c:pt>
                  <c:pt idx="25">
                    <c:v>Q2</c:v>
                  </c:pt>
                  <c:pt idx="26">
                    <c:v>Q3</c:v>
                  </c:pt>
                  <c:pt idx="27">
                    <c:v>Q4</c:v>
                  </c:pt>
                  <c:pt idx="28">
                    <c:v>Q1</c:v>
                  </c:pt>
                  <c:pt idx="29">
                    <c:v>Q2</c:v>
                  </c:pt>
                  <c:pt idx="30">
                    <c:v>Q3</c:v>
                  </c:pt>
                  <c:pt idx="31">
                    <c:v>Q4</c:v>
                  </c:pt>
                  <c:pt idx="32">
                    <c:v>Q1</c:v>
                  </c:pt>
                  <c:pt idx="33">
                    <c:v>Q2</c:v>
                  </c:pt>
                  <c:pt idx="34">
                    <c:v>Q3</c:v>
                  </c:pt>
                  <c:pt idx="35">
                    <c:v>Q4</c:v>
                  </c:pt>
                  <c:pt idx="36">
                    <c:v>Q1</c:v>
                  </c:pt>
                  <c:pt idx="37">
                    <c:v>Q2</c:v>
                  </c:pt>
                  <c:pt idx="38">
                    <c:v>Q3</c:v>
                  </c:pt>
                  <c:pt idx="39">
                    <c:v>Q4</c:v>
                  </c:pt>
                  <c:pt idx="40">
                    <c:v>Q1</c:v>
                  </c:pt>
                  <c:pt idx="41">
                    <c:v>Q2</c:v>
                  </c:pt>
                  <c:pt idx="42">
                    <c:v>Q3</c:v>
                  </c:pt>
                  <c:pt idx="43">
                    <c:v>Q4</c:v>
                  </c:pt>
                  <c:pt idx="44">
                    <c:v>Q1</c:v>
                  </c:pt>
                  <c:pt idx="45">
                    <c:v>Q2</c:v>
                  </c:pt>
                  <c:pt idx="46">
                    <c:v>Q3</c:v>
                  </c:pt>
                  <c:pt idx="47">
                    <c:v>Q4</c:v>
                  </c:pt>
                  <c:pt idx="48">
                    <c:v>Q1</c:v>
                  </c:pt>
                  <c:pt idx="49">
                    <c:v>Q2</c:v>
                  </c:pt>
                  <c:pt idx="50">
                    <c:v>Q3</c:v>
                  </c:pt>
                  <c:pt idx="51">
                    <c:v>Q4</c:v>
                  </c:pt>
                  <c:pt idx="52">
                    <c:v>Q1</c:v>
                  </c:pt>
                  <c:pt idx="53">
                    <c:v>Q2</c:v>
                  </c:pt>
                  <c:pt idx="54">
                    <c:v>Q3</c:v>
                  </c:pt>
                  <c:pt idx="55">
                    <c:v>Q4</c:v>
                  </c:pt>
                  <c:pt idx="56">
                    <c:v>Q1</c:v>
                  </c:pt>
                  <c:pt idx="57">
                    <c:v>Q2</c:v>
                  </c:pt>
                  <c:pt idx="58">
                    <c:v>Q3</c:v>
                  </c:pt>
                  <c:pt idx="59">
                    <c:v>Q4</c:v>
                  </c:pt>
                  <c:pt idx="60">
                    <c:v>Q1</c:v>
                  </c:pt>
                  <c:pt idx="61">
                    <c:v>Q2</c:v>
                  </c:pt>
                  <c:pt idx="62">
                    <c:v>Q3</c:v>
                  </c:pt>
                  <c:pt idx="63">
                    <c:v>Q4</c:v>
                  </c:pt>
                  <c:pt idx="64">
                    <c:v>Q1</c:v>
                  </c:pt>
                  <c:pt idx="65">
                    <c:v>Q2</c:v>
                  </c:pt>
                  <c:pt idx="66">
                    <c:v>Q3</c:v>
                  </c:pt>
                  <c:pt idx="67">
                    <c:v>Q4</c:v>
                  </c:pt>
                  <c:pt idx="68">
                    <c:v>Q1</c:v>
                  </c:pt>
                  <c:pt idx="69">
                    <c:v>Q2</c:v>
                  </c:pt>
                  <c:pt idx="70">
                    <c:v>Q3</c:v>
                  </c:pt>
                  <c:pt idx="71">
                    <c:v>Q4</c:v>
                  </c:pt>
                  <c:pt idx="72">
                    <c:v>Q1</c:v>
                  </c:pt>
                  <c:pt idx="73">
                    <c:v>Q2</c:v>
                  </c:pt>
                  <c:pt idx="74">
                    <c:v>Q3</c:v>
                  </c:pt>
                  <c:pt idx="75">
                    <c:v>Q4</c:v>
                  </c:pt>
                  <c:pt idx="76">
                    <c:v>Q1</c:v>
                  </c:pt>
                  <c:pt idx="77">
                    <c:v>Q2</c:v>
                  </c:pt>
                  <c:pt idx="78">
                    <c:v>Q3</c:v>
                  </c:pt>
                </c:lvl>
                <c:lvl>
                  <c:pt idx="0">
                    <c:v>2005</c:v>
                  </c:pt>
                  <c:pt idx="4">
                    <c:v>2006</c:v>
                  </c:pt>
                  <c:pt idx="8">
                    <c:v>2007</c:v>
                  </c:pt>
                  <c:pt idx="12">
                    <c:v>2008</c:v>
                  </c:pt>
                  <c:pt idx="16">
                    <c:v>2009</c:v>
                  </c:pt>
                  <c:pt idx="20">
                    <c:v>2010</c:v>
                  </c:pt>
                  <c:pt idx="24">
                    <c:v>2011</c:v>
                  </c:pt>
                  <c:pt idx="28">
                    <c:v>2012</c:v>
                  </c:pt>
                  <c:pt idx="32">
                    <c:v>2013</c:v>
                  </c:pt>
                  <c:pt idx="36">
                    <c:v>2014</c:v>
                  </c:pt>
                  <c:pt idx="40">
                    <c:v>2015</c:v>
                  </c:pt>
                  <c:pt idx="44">
                    <c:v>2016</c:v>
                  </c:pt>
                  <c:pt idx="48">
                    <c:v>2017</c:v>
                  </c:pt>
                  <c:pt idx="52">
                    <c:v>2018</c:v>
                  </c:pt>
                  <c:pt idx="56">
                    <c:v>2019</c:v>
                  </c:pt>
                  <c:pt idx="60">
                    <c:v>2020</c:v>
                  </c:pt>
                  <c:pt idx="64">
                    <c:v>2021</c:v>
                  </c:pt>
                  <c:pt idx="68">
                    <c:v>2022</c:v>
                  </c:pt>
                  <c:pt idx="72">
                    <c:v>2023</c:v>
                  </c:pt>
                  <c:pt idx="76">
                    <c:v>2024</c:v>
                  </c:pt>
                </c:lvl>
              </c:multiLvlStrCache>
            </c:multiLvlStrRef>
          </c:cat>
          <c:val>
            <c:numRef>
              <c:f>Charts!$J$4:$J$82</c:f>
              <c:numCache>
                <c:formatCode>0.0</c:formatCode>
                <c:ptCount val="79"/>
                <c:pt idx="0">
                  <c:v>100.88360700844514</c:v>
                </c:pt>
                <c:pt idx="1">
                  <c:v>104.56466310858634</c:v>
                </c:pt>
                <c:pt idx="2">
                  <c:v>111.21900003998971</c:v>
                </c:pt>
                <c:pt idx="3">
                  <c:v>115.08396434434212</c:v>
                </c:pt>
                <c:pt idx="4">
                  <c:v>118.35412905743436</c:v>
                </c:pt>
                <c:pt idx="5">
                  <c:v>129.72619785591496</c:v>
                </c:pt>
                <c:pt idx="6">
                  <c:v>144.69935795824784</c:v>
                </c:pt>
                <c:pt idx="7">
                  <c:v>162.10671644486035</c:v>
                </c:pt>
                <c:pt idx="8">
                  <c:v>179.33157725226289</c:v>
                </c:pt>
                <c:pt idx="9">
                  <c:v>195.37681606000174</c:v>
                </c:pt>
                <c:pt idx="10">
                  <c:v>202.51486248459224</c:v>
                </c:pt>
                <c:pt idx="11">
                  <c:v>193.13954732910631</c:v>
                </c:pt>
                <c:pt idx="12">
                  <c:v>178.80099311468462</c:v>
                </c:pt>
                <c:pt idx="13">
                  <c:v>167.51832691394699</c:v>
                </c:pt>
                <c:pt idx="14">
                  <c:v>151.50165905716511</c:v>
                </c:pt>
                <c:pt idx="15">
                  <c:v>138.61015958362361</c:v>
                </c:pt>
                <c:pt idx="16">
                  <c:v>126.36557833571713</c:v>
                </c:pt>
                <c:pt idx="17">
                  <c:v>127.53623657625508</c:v>
                </c:pt>
                <c:pt idx="18">
                  <c:v>127.87452722944235</c:v>
                </c:pt>
                <c:pt idx="19">
                  <c:v>127.99151405208147</c:v>
                </c:pt>
                <c:pt idx="20">
                  <c:v>122.31971091350921</c:v>
                </c:pt>
                <c:pt idx="21">
                  <c:v>121.25009155885222</c:v>
                </c:pt>
                <c:pt idx="22">
                  <c:v>119.13062477152521</c:v>
                </c:pt>
                <c:pt idx="23">
                  <c:v>112.23641925196959</c:v>
                </c:pt>
                <c:pt idx="24">
                  <c:v>107.28671549430042</c:v>
                </c:pt>
                <c:pt idx="25">
                  <c:v>105.59077363144822</c:v>
                </c:pt>
                <c:pt idx="26">
                  <c:v>103.75689951979919</c:v>
                </c:pt>
                <c:pt idx="27">
                  <c:v>100.83920591401225</c:v>
                </c:pt>
                <c:pt idx="28">
                  <c:v>94.385930857584327</c:v>
                </c:pt>
                <c:pt idx="29">
                  <c:v>94.633866770005511</c:v>
                </c:pt>
                <c:pt idx="30">
                  <c:v>92.018901408964609</c:v>
                </c:pt>
                <c:pt idx="31">
                  <c:v>89.820301216701623</c:v>
                </c:pt>
                <c:pt idx="32">
                  <c:v>87.820802569628114</c:v>
                </c:pt>
                <c:pt idx="33">
                  <c:v>89.444216319802067</c:v>
                </c:pt>
                <c:pt idx="34">
                  <c:v>91.188613279745894</c:v>
                </c:pt>
                <c:pt idx="35">
                  <c:v>91.832888286258765</c:v>
                </c:pt>
                <c:pt idx="36">
                  <c:v>93.3569519686408</c:v>
                </c:pt>
                <c:pt idx="37">
                  <c:v>96.476250338213532</c:v>
                </c:pt>
                <c:pt idx="38">
                  <c:v>98.356098288716012</c:v>
                </c:pt>
                <c:pt idx="39">
                  <c:v>99.82872802067952</c:v>
                </c:pt>
                <c:pt idx="40">
                  <c:v>100</c:v>
                </c:pt>
                <c:pt idx="41">
                  <c:v>103.06489775616502</c:v>
                </c:pt>
                <c:pt idx="42">
                  <c:v>106.10748416842293</c:v>
                </c:pt>
                <c:pt idx="43">
                  <c:v>107.04481974600716</c:v>
                </c:pt>
                <c:pt idx="44">
                  <c:v>107.13066276527967</c:v>
                </c:pt>
                <c:pt idx="45">
                  <c:v>111.09536821185763</c:v>
                </c:pt>
                <c:pt idx="46">
                  <c:v>112.43063209790654</c:v>
                </c:pt>
                <c:pt idx="47">
                  <c:v>112.72680747974017</c:v>
                </c:pt>
                <c:pt idx="48">
                  <c:v>112.4804357975263</c:v>
                </c:pt>
                <c:pt idx="49">
                  <c:v>114.63719672453875</c:v>
                </c:pt>
                <c:pt idx="50">
                  <c:v>116.16902847718116</c:v>
                </c:pt>
                <c:pt idx="51">
                  <c:v>116.82116228441841</c:v>
                </c:pt>
                <c:pt idx="52">
                  <c:v>117.44338562809449</c:v>
                </c:pt>
                <c:pt idx="53">
                  <c:v>119.06887076380221</c:v>
                </c:pt>
                <c:pt idx="54">
                  <c:v>121.34424647603797</c:v>
                </c:pt>
                <c:pt idx="55">
                  <c:v>123.27737891006292</c:v>
                </c:pt>
                <c:pt idx="56">
                  <c:v>122.07837896678208</c:v>
                </c:pt>
                <c:pt idx="57">
                  <c:v>123.45415957159555</c:v>
                </c:pt>
                <c:pt idx="58">
                  <c:v>126.04797658822065</c:v>
                </c:pt>
                <c:pt idx="59">
                  <c:v>126.32186281917723</c:v>
                </c:pt>
                <c:pt idx="60">
                  <c:v>126.84558031184297</c:v>
                </c:pt>
                <c:pt idx="61">
                  <c:v>126.95265083216525</c:v>
                </c:pt>
                <c:pt idx="62">
                  <c:v>129.55018874515579</c:v>
                </c:pt>
                <c:pt idx="63">
                  <c:v>132.93182697364182</c:v>
                </c:pt>
                <c:pt idx="64">
                  <c:v>134.38283149031142</c:v>
                </c:pt>
                <c:pt idx="65">
                  <c:v>139.10504967689695</c:v>
                </c:pt>
                <c:pt idx="66">
                  <c:v>143.40862392699194</c:v>
                </c:pt>
                <c:pt idx="67">
                  <c:v>143.38656357233481</c:v>
                </c:pt>
                <c:pt idx="68">
                  <c:v>147.71667811861181</c:v>
                </c:pt>
                <c:pt idx="69">
                  <c:v>152.60096290045001</c:v>
                </c:pt>
                <c:pt idx="70">
                  <c:v>158.45812031122304</c:v>
                </c:pt>
                <c:pt idx="71">
                  <c:v>157.85426446374632</c:v>
                </c:pt>
                <c:pt idx="72">
                  <c:v>154.75866797013197</c:v>
                </c:pt>
                <c:pt idx="73">
                  <c:v>156.76701604916747</c:v>
                </c:pt>
                <c:pt idx="74">
                  <c:v>161.66182777312727</c:v>
                </c:pt>
                <c:pt idx="75">
                  <c:v>160.16743199883348</c:v>
                </c:pt>
                <c:pt idx="76">
                  <c:v>161.02703078071374</c:v>
                </c:pt>
                <c:pt idx="77">
                  <c:v>167.11496659834074</c:v>
                </c:pt>
                <c:pt idx="78">
                  <c:v>171.76215898970554</c:v>
                </c:pt>
              </c:numCache>
            </c:numRef>
          </c:val>
          <c:smooth val="0"/>
          <c:extLst>
            <c:ext xmlns:c16="http://schemas.microsoft.com/office/drawing/2014/chart" uri="{C3380CC4-5D6E-409C-BE32-E72D297353CC}">
              <c16:uniqueId val="{00000001-1C05-4884-BD63-B488CD245EAC}"/>
            </c:ext>
          </c:extLst>
        </c:ser>
        <c:dLbls>
          <c:showLegendKey val="0"/>
          <c:showVal val="0"/>
          <c:showCatName val="0"/>
          <c:showSerName val="0"/>
          <c:showPercent val="0"/>
          <c:showBubbleSize val="0"/>
        </c:dLbls>
        <c:smooth val="0"/>
        <c:axId val="2073560736"/>
        <c:axId val="2073575136"/>
      </c:lineChart>
      <c:catAx>
        <c:axId val="2073560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3575136"/>
        <c:crosses val="autoZero"/>
        <c:auto val="1"/>
        <c:lblAlgn val="ctr"/>
        <c:lblOffset val="100"/>
        <c:noMultiLvlLbl val="0"/>
      </c:catAx>
      <c:valAx>
        <c:axId val="2073575136"/>
        <c:scaling>
          <c:orientation val="minMax"/>
        </c:scaling>
        <c:delete val="0"/>
        <c:axPos val="l"/>
        <c:majorGridlines>
          <c:spPr>
            <a:ln w="9525" cap="flat" cmpd="sng" algn="ctr">
              <a:solidFill>
                <a:schemeClr val="tx1">
                  <a:lumMod val="15000"/>
                  <a:lumOff val="85000"/>
                </a:schemeClr>
              </a:solidFill>
              <a:prstDash val="lgDashDotDot"/>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3560736"/>
        <c:crosses val="autoZero"/>
        <c:crossBetween val="between"/>
      </c:valAx>
      <c:spPr>
        <a:noFill/>
        <a:ln>
          <a:noFill/>
        </a:ln>
        <a:effectLst/>
      </c:spPr>
    </c:plotArea>
    <c:legend>
      <c:legendPos val="b"/>
      <c:layout>
        <c:manualLayout>
          <c:xMode val="edge"/>
          <c:yMode val="edge"/>
          <c:x val="0.53811886847477386"/>
          <c:y val="0.82347066432341598"/>
          <c:w val="0.4393178186060076"/>
          <c:h val="5.497566925430088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'Sales ABC Table'!$L$3</c:f>
              <c:strCache>
                <c:ptCount val="1"/>
                <c:pt idx="0">
                  <c:v>Total</c:v>
                </c:pt>
              </c:strCache>
            </c:strRef>
          </c:tx>
          <c:spPr>
            <a:ln w="28575" cap="rnd">
              <a:solidFill>
                <a:schemeClr val="accent1"/>
              </a:solidFill>
              <a:round/>
            </a:ln>
            <a:effectLst/>
          </c:spPr>
          <c:marker>
            <c:symbol val="none"/>
          </c:marker>
          <c:cat>
            <c:numRef>
              <c:f>'Sales ABC Table'!$K$4:$K$22</c:f>
              <c:numCache>
                <c:formatCode>General</c:formatCode>
                <c:ptCount val="19"/>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numCache>
            </c:numRef>
          </c:cat>
          <c:val>
            <c:numRef>
              <c:f>'Sales ABC Table'!$L$4:$L$22</c:f>
              <c:numCache>
                <c:formatCode>_-* #,##0_-;\-* #,##0_-;_-* "-"??_-;_-@_-</c:formatCode>
                <c:ptCount val="19"/>
                <c:pt idx="0">
                  <c:v>3461</c:v>
                </c:pt>
                <c:pt idx="1">
                  <c:v>4714</c:v>
                </c:pt>
                <c:pt idx="2">
                  <c:v>3115</c:v>
                </c:pt>
                <c:pt idx="3">
                  <c:v>1290</c:v>
                </c:pt>
                <c:pt idx="4">
                  <c:v>1246</c:v>
                </c:pt>
                <c:pt idx="5">
                  <c:v>1082</c:v>
                </c:pt>
                <c:pt idx="6">
                  <c:v>1216</c:v>
                </c:pt>
                <c:pt idx="7">
                  <c:v>1519</c:v>
                </c:pt>
                <c:pt idx="8">
                  <c:v>1778</c:v>
                </c:pt>
                <c:pt idx="9">
                  <c:v>2235</c:v>
                </c:pt>
                <c:pt idx="10">
                  <c:v>2377</c:v>
                </c:pt>
                <c:pt idx="11">
                  <c:v>2576</c:v>
                </c:pt>
                <c:pt idx="12">
                  <c:v>2848</c:v>
                </c:pt>
                <c:pt idx="13">
                  <c:v>2825</c:v>
                </c:pt>
                <c:pt idx="14">
                  <c:v>2842</c:v>
                </c:pt>
                <c:pt idx="15">
                  <c:v>2522</c:v>
                </c:pt>
                <c:pt idx="16">
                  <c:v>3511</c:v>
                </c:pt>
                <c:pt idx="17">
                  <c:v>2937</c:v>
                </c:pt>
                <c:pt idx="18">
                  <c:v>2496</c:v>
                </c:pt>
              </c:numCache>
            </c:numRef>
          </c:val>
          <c:smooth val="0"/>
          <c:extLst>
            <c:ext xmlns:c16="http://schemas.microsoft.com/office/drawing/2014/chart" uri="{C3380CC4-5D6E-409C-BE32-E72D297353CC}">
              <c16:uniqueId val="{00000000-E061-48F9-BC10-F61339589833}"/>
            </c:ext>
          </c:extLst>
        </c:ser>
        <c:dLbls>
          <c:showLegendKey val="0"/>
          <c:showVal val="0"/>
          <c:showCatName val="0"/>
          <c:showSerName val="0"/>
          <c:showPercent val="0"/>
          <c:showBubbleSize val="0"/>
        </c:dLbls>
        <c:smooth val="0"/>
        <c:axId val="482458624"/>
        <c:axId val="482456704"/>
      </c:lineChart>
      <c:catAx>
        <c:axId val="482458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2456704"/>
        <c:crosses val="autoZero"/>
        <c:auto val="1"/>
        <c:lblAlgn val="ctr"/>
        <c:lblOffset val="100"/>
        <c:noMultiLvlLbl val="0"/>
      </c:catAx>
      <c:valAx>
        <c:axId val="482456704"/>
        <c:scaling>
          <c:orientation val="minMax"/>
        </c:scaling>
        <c:delete val="0"/>
        <c:axPos val="l"/>
        <c:majorGridlines>
          <c:spPr>
            <a:ln w="9525" cap="flat" cmpd="sng" algn="ctr">
              <a:solidFill>
                <a:schemeClr val="tx1">
                  <a:lumMod val="15000"/>
                  <a:lumOff val="85000"/>
                </a:schemeClr>
              </a:solidFill>
              <a:prstDash val="lgDashDotDot"/>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2458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E81B9-6D04-45EE-964F-B3546668A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1274</Words>
  <Characters>7265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Gordon</dc:creator>
  <cp:keywords/>
  <dc:description/>
  <cp:lastModifiedBy>Jessica Bennett</cp:lastModifiedBy>
  <cp:revision>5</cp:revision>
  <cp:lastPrinted>2024-04-09T13:08:00Z</cp:lastPrinted>
  <dcterms:created xsi:type="dcterms:W3CDTF">2024-12-31T10:25:00Z</dcterms:created>
  <dcterms:modified xsi:type="dcterms:W3CDTF">2024-12-31T11:55:00Z</dcterms:modified>
</cp:coreProperties>
</file>