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F153" w14:textId="77777777" w:rsidR="00C17259" w:rsidRPr="008C3787" w:rsidRDefault="00814542">
      <w:pPr>
        <w:rPr>
          <w:b/>
        </w:rPr>
      </w:pPr>
      <w:r>
        <w:rPr>
          <w:b/>
        </w:rPr>
        <w:t>Culture and Arts</w:t>
      </w:r>
    </w:p>
    <w:p w14:paraId="4B72AC35" w14:textId="0690E3D9" w:rsidR="00144DDE" w:rsidRDefault="008C3787" w:rsidP="00814542">
      <w:r>
        <w:t xml:space="preserve">The </w:t>
      </w:r>
      <w:r w:rsidR="00814542">
        <w:t xml:space="preserve">Continuous Household Survey </w:t>
      </w:r>
      <w:r w:rsidR="00284A71">
        <w:t>(CHS)</w:t>
      </w:r>
      <w:r w:rsidR="00435F79">
        <w:rPr>
          <w:rStyle w:val="FootnoteReference"/>
        </w:rPr>
        <w:footnoteReference w:id="1"/>
      </w:r>
      <w:r w:rsidR="00284A71">
        <w:t xml:space="preserve"> </w:t>
      </w:r>
      <w:r w:rsidR="00814542">
        <w:t>is designed to provide a regular source of information on a variety of issues relevant to Northern Ireland including participation in arts and culture.</w:t>
      </w:r>
      <w:r w:rsidR="00435F79">
        <w:t xml:space="preserve"> </w:t>
      </w:r>
      <w:r w:rsidR="00CA4354">
        <w:t xml:space="preserve">Data from the </w:t>
      </w:r>
      <w:r w:rsidR="00A9303E">
        <w:t>20</w:t>
      </w:r>
      <w:r w:rsidR="00CA4354">
        <w:t>2</w:t>
      </w:r>
      <w:r w:rsidR="00C0757E">
        <w:t>3</w:t>
      </w:r>
      <w:r w:rsidR="00A9303E">
        <w:t>/2</w:t>
      </w:r>
      <w:r w:rsidR="00C0757E">
        <w:t>4</w:t>
      </w:r>
      <w:r w:rsidR="00CA4354">
        <w:t xml:space="preserve"> survey</w:t>
      </w:r>
      <w:r w:rsidR="00144DDE">
        <w:t xml:space="preserve"> show</w:t>
      </w:r>
      <w:r w:rsidR="00A9303E">
        <w:t>s</w:t>
      </w:r>
      <w:r w:rsidR="00144DDE">
        <w:t xml:space="preserve"> that engagement and participation in culture and arts </w:t>
      </w:r>
      <w:r w:rsidR="00704EA7">
        <w:t xml:space="preserve">by adults </w:t>
      </w:r>
      <w:r w:rsidR="00144DDE">
        <w:t>in Armagh</w:t>
      </w:r>
      <w:r w:rsidR="00535EBD">
        <w:t xml:space="preserve"> City, Banbridge and Craigavon wa</w:t>
      </w:r>
      <w:r w:rsidR="00144DDE">
        <w:t>s similar</w:t>
      </w:r>
      <w:r w:rsidR="00C42B0F">
        <w:t xml:space="preserve"> to </w:t>
      </w:r>
      <w:r w:rsidR="00144DDE">
        <w:t>that for Northern Ireland overall.</w:t>
      </w:r>
    </w:p>
    <w:p w14:paraId="094549CC" w14:textId="24F287C2" w:rsidR="00381E1E" w:rsidRDefault="00142398">
      <w:r>
        <w:t>In the borough</w:t>
      </w:r>
      <w:r w:rsidR="00A95C11">
        <w:t>,</w:t>
      </w:r>
      <w:r>
        <w:t xml:space="preserve"> 8</w:t>
      </w:r>
      <w:r w:rsidR="00C0757E">
        <w:t>6</w:t>
      </w:r>
      <w:r>
        <w:t>% of respondents had engaged in culture and arts in the 12 months prior to being surveyed</w:t>
      </w:r>
      <w:r w:rsidR="00A95C11">
        <w:t xml:space="preserve"> compared to 8</w:t>
      </w:r>
      <w:r w:rsidR="00C0757E">
        <w:t>3</w:t>
      </w:r>
      <w:r w:rsidR="00A95C11">
        <w:t xml:space="preserve">% in Northern Ireland overall.  </w:t>
      </w:r>
      <w:r w:rsidR="00CA4354">
        <w:t xml:space="preserve">Just </w:t>
      </w:r>
      <w:r w:rsidR="00C0757E">
        <w:t>over</w:t>
      </w:r>
      <w:r w:rsidR="00A95C11">
        <w:t xml:space="preserve"> a third (3</w:t>
      </w:r>
      <w:r w:rsidR="00C0757E">
        <w:t>5</w:t>
      </w:r>
      <w:r w:rsidR="0062713E">
        <w:t>%)</w:t>
      </w:r>
      <w:r w:rsidR="00A47314">
        <w:t xml:space="preserve"> </w:t>
      </w:r>
      <w:r w:rsidR="0062713E">
        <w:t>of those surveyed in the borough had participated in arts activities</w:t>
      </w:r>
      <w:r w:rsidR="00CA4354">
        <w:t>, slightly higher than the comparable figure for</w:t>
      </w:r>
      <w:r w:rsidR="00A95C11">
        <w:t xml:space="preserve"> Northern Ireland overall (</w:t>
      </w:r>
      <w:r w:rsidR="00C0757E">
        <w:t>30</w:t>
      </w:r>
      <w:r w:rsidR="0062713E">
        <w:t xml:space="preserve">%). </w:t>
      </w:r>
      <w:r w:rsidR="00000FE7">
        <w:t xml:space="preserve">It was reported </w:t>
      </w:r>
      <w:r w:rsidR="00000FE7" w:rsidRPr="00000FE7">
        <w:t>that</w:t>
      </w:r>
      <w:r w:rsidR="00A95C11" w:rsidRPr="00000FE7">
        <w:t xml:space="preserve"> </w:t>
      </w:r>
      <w:r w:rsidR="00000FE7" w:rsidRPr="00000FE7">
        <w:t>7</w:t>
      </w:r>
      <w:r w:rsidR="00C0757E">
        <w:t>8</w:t>
      </w:r>
      <w:r w:rsidR="00A95C11" w:rsidRPr="00000FE7">
        <w:t xml:space="preserve">% of respondents </w:t>
      </w:r>
      <w:r w:rsidR="00000FE7" w:rsidRPr="00000FE7">
        <w:t xml:space="preserve">from the borough </w:t>
      </w:r>
      <w:r w:rsidR="00A95C11" w:rsidRPr="00000FE7">
        <w:t>stated that they had attended an arts event</w:t>
      </w:r>
      <w:r w:rsidR="00000FE7" w:rsidRPr="00000FE7">
        <w:t xml:space="preserve"> within the previous year</w:t>
      </w:r>
      <w:r w:rsidR="00A95C11" w:rsidRPr="00000FE7">
        <w:t xml:space="preserve">, </w:t>
      </w:r>
      <w:r w:rsidR="00000FE7" w:rsidRPr="00000FE7">
        <w:t>similar to Northern Ireland at 7</w:t>
      </w:r>
      <w:r w:rsidR="00C0757E">
        <w:t>6</w:t>
      </w:r>
      <w:r w:rsidR="00000FE7" w:rsidRPr="00000FE7">
        <w:t>%.</w:t>
      </w:r>
      <w:r w:rsidR="006C7C99" w:rsidRPr="00000FE7">
        <w:t xml:space="preserve"> </w:t>
      </w:r>
      <w:r w:rsidR="00000FE7" w:rsidRPr="00000FE7">
        <w:t xml:space="preserve">Approximately </w:t>
      </w:r>
      <w:r w:rsidR="00C0757E">
        <w:t xml:space="preserve">3 in every 10 people </w:t>
      </w:r>
      <w:r w:rsidR="00A048A3" w:rsidRPr="00000FE7">
        <w:t>surveyed in the borough had used the public library service in the previous 12 months</w:t>
      </w:r>
      <w:r w:rsidR="0090727E" w:rsidRPr="00000FE7">
        <w:t xml:space="preserve"> while for Northern Ireland overall the figure was </w:t>
      </w:r>
      <w:r w:rsidR="00C0757E">
        <w:t>lower</w:t>
      </w:r>
      <w:r w:rsidR="00EE6727" w:rsidRPr="00000FE7">
        <w:t xml:space="preserve"> at 2</w:t>
      </w:r>
      <w:r w:rsidR="00C0757E">
        <w:t>3</w:t>
      </w:r>
      <w:r w:rsidR="0090727E" w:rsidRPr="00000FE7">
        <w:t>%.</w:t>
      </w:r>
      <w:r w:rsidR="00EE6727" w:rsidRPr="00000FE7">
        <w:t xml:space="preserve"> </w:t>
      </w:r>
      <w:r w:rsidR="00F56A12" w:rsidRPr="00000FE7">
        <w:t xml:space="preserve"> </w:t>
      </w:r>
      <w:r w:rsidR="007932C0" w:rsidRPr="00000FE7">
        <w:t>Only 3</w:t>
      </w:r>
      <w:r w:rsidR="00C0757E">
        <w:t>6</w:t>
      </w:r>
      <w:r w:rsidR="00F56A12" w:rsidRPr="00000FE7">
        <w:t xml:space="preserve">% of respondents in Armagh City, Banbridge and Craigavon had visited a museum or science centre in the previous 12 months, </w:t>
      </w:r>
      <w:r w:rsidR="00C0757E">
        <w:t>just less than the 39% recorded for</w:t>
      </w:r>
      <w:r w:rsidR="00000FE7" w:rsidRPr="00000FE7">
        <w:t xml:space="preserve"> Northern Ireland overall. </w:t>
      </w:r>
      <w:r w:rsidR="00F56A12" w:rsidRPr="00000FE7">
        <w:t xml:space="preserve"> </w:t>
      </w:r>
      <w:r w:rsidR="007932C0" w:rsidRPr="00000FE7">
        <w:t xml:space="preserve">Finally, just </w:t>
      </w:r>
      <w:r w:rsidR="00C0757E">
        <w:t>3</w:t>
      </w:r>
      <w:r w:rsidR="007932C0" w:rsidRPr="00000FE7">
        <w:t xml:space="preserve">% of respondents from the borough </w:t>
      </w:r>
      <w:r w:rsidR="00F56A12" w:rsidRPr="00000FE7">
        <w:t xml:space="preserve">had visited </w:t>
      </w:r>
      <w:r w:rsidR="006C7C99" w:rsidRPr="00000FE7">
        <w:t>the Public Record Office of Northern Ireland (</w:t>
      </w:r>
      <w:r w:rsidR="00F56A12" w:rsidRPr="00000FE7">
        <w:t>PRONI</w:t>
      </w:r>
      <w:r w:rsidR="006C7C99" w:rsidRPr="00000FE7">
        <w:t>)</w:t>
      </w:r>
      <w:r w:rsidR="00F56A12" w:rsidRPr="00000FE7">
        <w:t xml:space="preserve"> </w:t>
      </w:r>
      <w:r w:rsidR="00000FE7" w:rsidRPr="00000FE7">
        <w:t>or used PRONI online services within the</w:t>
      </w:r>
      <w:r w:rsidR="007932C0" w:rsidRPr="00000FE7">
        <w:t xml:space="preserve"> twelve months prior to the survey.  The equivalent figure for</w:t>
      </w:r>
      <w:r w:rsidR="00F56A12" w:rsidRPr="00000FE7">
        <w:t xml:space="preserve"> Northe</w:t>
      </w:r>
      <w:r w:rsidR="006C7C99" w:rsidRPr="00000FE7">
        <w:t>rn Ireland</w:t>
      </w:r>
      <w:r w:rsidR="007932C0" w:rsidRPr="00000FE7">
        <w:t xml:space="preserve"> was 5%</w:t>
      </w:r>
      <w:r w:rsidR="00F56A12" w:rsidRPr="00000FE7">
        <w:t>.</w:t>
      </w:r>
    </w:p>
    <w:tbl>
      <w:tblPr>
        <w:tblStyle w:val="GridTable1Light"/>
        <w:tblW w:w="8637" w:type="dxa"/>
        <w:tblLayout w:type="fixed"/>
        <w:tblLook w:val="04A0" w:firstRow="1" w:lastRow="0" w:firstColumn="1" w:lastColumn="0" w:noHBand="0" w:noVBand="1"/>
        <w:tblCaption w:val="Engagement in culture and arts by adults in Armagh City, Banbridge and Craigavon Borough and Northern Ireland 2022/23. "/>
      </w:tblPr>
      <w:tblGrid>
        <w:gridCol w:w="3460"/>
        <w:gridCol w:w="2588"/>
        <w:gridCol w:w="2589"/>
      </w:tblGrid>
      <w:tr w:rsidR="00A95C11" w:rsidRPr="00A95C11" w14:paraId="2FE2ACFD" w14:textId="77777777" w:rsidTr="00A95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hideMark/>
          </w:tcPr>
          <w:p w14:paraId="0FC562F7" w14:textId="77777777" w:rsidR="00A95C11" w:rsidRPr="00A95C11" w:rsidRDefault="00A95C11" w:rsidP="00A95C1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88" w:type="dxa"/>
            <w:hideMark/>
          </w:tcPr>
          <w:p w14:paraId="2272539B" w14:textId="77777777" w:rsidR="00A95C11" w:rsidRPr="00A95C11" w:rsidRDefault="00A95C11" w:rsidP="00A95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 (%)</w:t>
            </w:r>
          </w:p>
        </w:tc>
        <w:tc>
          <w:tcPr>
            <w:tcW w:w="2589" w:type="dxa"/>
            <w:hideMark/>
          </w:tcPr>
          <w:p w14:paraId="46B71C56" w14:textId="77777777" w:rsidR="00A95C11" w:rsidRDefault="00A95C11" w:rsidP="00A95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Northern Ireland </w:t>
            </w:r>
          </w:p>
          <w:p w14:paraId="16FE2BCA" w14:textId="40E5B0A9" w:rsidR="00A95C11" w:rsidRPr="00A95C11" w:rsidRDefault="00A95C11" w:rsidP="00A95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(%)</w:t>
            </w:r>
          </w:p>
        </w:tc>
      </w:tr>
      <w:tr w:rsidR="00C0757E" w:rsidRPr="00A95C11" w14:paraId="3A190B5D" w14:textId="77777777" w:rsidTr="001027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6134020" w14:textId="77777777" w:rsidR="00C0757E" w:rsidRPr="00A95C11" w:rsidRDefault="00C0757E" w:rsidP="00C075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Engaged in culture and arts</w:t>
            </w:r>
          </w:p>
        </w:tc>
        <w:tc>
          <w:tcPr>
            <w:tcW w:w="2588" w:type="dxa"/>
            <w:noWrap/>
            <w:vAlign w:val="center"/>
            <w:hideMark/>
          </w:tcPr>
          <w:p w14:paraId="4B8FD9C6" w14:textId="2E9CA040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589" w:type="dxa"/>
            <w:noWrap/>
            <w:vAlign w:val="center"/>
            <w:hideMark/>
          </w:tcPr>
          <w:p w14:paraId="68A26C13" w14:textId="5E345DC6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C0757E" w:rsidRPr="00A95C11" w14:paraId="0181E8A5" w14:textId="77777777" w:rsidTr="001027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DD5CF4A" w14:textId="77777777" w:rsidR="00C0757E" w:rsidRPr="00A95C11" w:rsidRDefault="00C0757E" w:rsidP="00C075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Participated in arts activities</w:t>
            </w:r>
          </w:p>
        </w:tc>
        <w:tc>
          <w:tcPr>
            <w:tcW w:w="2588" w:type="dxa"/>
            <w:noWrap/>
            <w:vAlign w:val="center"/>
            <w:hideMark/>
          </w:tcPr>
          <w:p w14:paraId="3E7E484A" w14:textId="4D06A2E4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589" w:type="dxa"/>
            <w:noWrap/>
            <w:vAlign w:val="center"/>
            <w:hideMark/>
          </w:tcPr>
          <w:p w14:paraId="0DA802D9" w14:textId="35E6BDAC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0757E" w:rsidRPr="00A95C11" w14:paraId="27F70FAE" w14:textId="77777777" w:rsidTr="001027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FC6C30D" w14:textId="77777777" w:rsidR="00C0757E" w:rsidRPr="00A95C11" w:rsidRDefault="00C0757E" w:rsidP="00C075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Attended an arts event</w:t>
            </w:r>
          </w:p>
        </w:tc>
        <w:tc>
          <w:tcPr>
            <w:tcW w:w="2588" w:type="dxa"/>
            <w:noWrap/>
            <w:vAlign w:val="center"/>
            <w:hideMark/>
          </w:tcPr>
          <w:p w14:paraId="3735C402" w14:textId="5E7E75E6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589" w:type="dxa"/>
            <w:noWrap/>
            <w:vAlign w:val="center"/>
            <w:hideMark/>
          </w:tcPr>
          <w:p w14:paraId="24AD5087" w14:textId="5A873828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C0757E" w:rsidRPr="00A95C11" w14:paraId="1A6243C8" w14:textId="77777777" w:rsidTr="001027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C21485F" w14:textId="77777777" w:rsidR="00C0757E" w:rsidRPr="00A95C11" w:rsidRDefault="00C0757E" w:rsidP="00C075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Used the public library service</w:t>
            </w:r>
          </w:p>
        </w:tc>
        <w:tc>
          <w:tcPr>
            <w:tcW w:w="2588" w:type="dxa"/>
            <w:noWrap/>
            <w:vAlign w:val="center"/>
            <w:hideMark/>
          </w:tcPr>
          <w:p w14:paraId="33E24D43" w14:textId="6C8F494E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89" w:type="dxa"/>
            <w:noWrap/>
            <w:vAlign w:val="center"/>
            <w:hideMark/>
          </w:tcPr>
          <w:p w14:paraId="0BBADAA3" w14:textId="152C7418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C0757E" w:rsidRPr="00A95C11" w14:paraId="59779DC5" w14:textId="77777777" w:rsidTr="001027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6CF1BB5" w14:textId="77777777" w:rsidR="00C0757E" w:rsidRPr="00A95C11" w:rsidRDefault="00C0757E" w:rsidP="00C075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Visited a museum or science centre</w:t>
            </w:r>
          </w:p>
        </w:tc>
        <w:tc>
          <w:tcPr>
            <w:tcW w:w="2588" w:type="dxa"/>
            <w:noWrap/>
            <w:vAlign w:val="center"/>
            <w:hideMark/>
          </w:tcPr>
          <w:p w14:paraId="1266D69C" w14:textId="5CE670E4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589" w:type="dxa"/>
            <w:noWrap/>
            <w:vAlign w:val="center"/>
            <w:hideMark/>
          </w:tcPr>
          <w:p w14:paraId="0E43C8B6" w14:textId="1768362F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C0757E" w:rsidRPr="00A95C11" w14:paraId="39F87C0C" w14:textId="77777777" w:rsidTr="001027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CEC7C7C" w14:textId="77777777" w:rsidR="00C0757E" w:rsidRPr="00A95C11" w:rsidRDefault="00C0757E" w:rsidP="00C075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C11">
              <w:rPr>
                <w:rFonts w:ascii="Calibri" w:eastAsia="Times New Roman" w:hAnsi="Calibri" w:cs="Calibri"/>
                <w:color w:val="000000"/>
                <w:lang w:eastAsia="en-GB"/>
              </w:rPr>
              <w:t>Visited PRONI</w:t>
            </w:r>
          </w:p>
        </w:tc>
        <w:tc>
          <w:tcPr>
            <w:tcW w:w="2588" w:type="dxa"/>
            <w:noWrap/>
            <w:vAlign w:val="center"/>
            <w:hideMark/>
          </w:tcPr>
          <w:p w14:paraId="77708CCA" w14:textId="7BFB6A54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89" w:type="dxa"/>
            <w:noWrap/>
            <w:vAlign w:val="center"/>
            <w:hideMark/>
          </w:tcPr>
          <w:p w14:paraId="33D6293B" w14:textId="4AD90298" w:rsidR="00C0757E" w:rsidRPr="00A95C11" w:rsidRDefault="00C0757E" w:rsidP="00C0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14:paraId="41CEF009" w14:textId="13FF15F4" w:rsidR="008C3787" w:rsidRDefault="008C1EDC">
      <w:pPr>
        <w:rPr>
          <w:i/>
          <w:sz w:val="20"/>
          <w:szCs w:val="20"/>
        </w:rPr>
      </w:pPr>
      <w:r w:rsidRPr="008C1EDC">
        <w:rPr>
          <w:i/>
          <w:sz w:val="20"/>
          <w:szCs w:val="20"/>
        </w:rPr>
        <w:t xml:space="preserve">Table 1: </w:t>
      </w:r>
      <w:r w:rsidR="00704EA7">
        <w:rPr>
          <w:i/>
          <w:sz w:val="20"/>
          <w:szCs w:val="20"/>
        </w:rPr>
        <w:t xml:space="preserve">Engagement in culture and arts by adults in Armagh City, Banbridge and Craigavon Borough and Northern Ireland </w:t>
      </w:r>
      <w:r w:rsidR="00A95C11">
        <w:rPr>
          <w:i/>
          <w:sz w:val="20"/>
          <w:szCs w:val="20"/>
        </w:rPr>
        <w:t>20</w:t>
      </w:r>
      <w:r w:rsidR="00CA4354">
        <w:rPr>
          <w:i/>
          <w:sz w:val="20"/>
          <w:szCs w:val="20"/>
        </w:rPr>
        <w:t>2</w:t>
      </w:r>
      <w:r w:rsidR="00C0757E">
        <w:rPr>
          <w:i/>
          <w:sz w:val="20"/>
          <w:szCs w:val="20"/>
        </w:rPr>
        <w:t>3</w:t>
      </w:r>
      <w:r w:rsidR="00A95C11">
        <w:rPr>
          <w:i/>
          <w:sz w:val="20"/>
          <w:szCs w:val="20"/>
        </w:rPr>
        <w:t>/2</w:t>
      </w:r>
      <w:r w:rsidR="00C0757E">
        <w:rPr>
          <w:i/>
          <w:sz w:val="20"/>
          <w:szCs w:val="20"/>
        </w:rPr>
        <w:t>4</w:t>
      </w:r>
      <w:r w:rsidRPr="008C1EDC">
        <w:rPr>
          <w:i/>
          <w:sz w:val="20"/>
          <w:szCs w:val="20"/>
        </w:rPr>
        <w:t xml:space="preserve">. Source: </w:t>
      </w:r>
      <w:r w:rsidR="00704EA7">
        <w:rPr>
          <w:i/>
          <w:sz w:val="20"/>
          <w:szCs w:val="20"/>
        </w:rPr>
        <w:t>Continuous Household Survey, Department for Communities</w:t>
      </w:r>
      <w:r w:rsidRPr="008C1EDC">
        <w:rPr>
          <w:i/>
          <w:sz w:val="20"/>
          <w:szCs w:val="20"/>
        </w:rPr>
        <w:t>.</w:t>
      </w:r>
    </w:p>
    <w:p w14:paraId="18D81B41" w14:textId="77777777" w:rsidR="0035344A" w:rsidRDefault="0035344A">
      <w:pPr>
        <w:rPr>
          <w:i/>
          <w:sz w:val="20"/>
          <w:szCs w:val="20"/>
        </w:rPr>
      </w:pPr>
    </w:p>
    <w:p w14:paraId="484A3956" w14:textId="0F61DD1A" w:rsidR="00000FE7" w:rsidRDefault="007932C0">
      <w:pPr>
        <w:rPr>
          <w:i/>
          <w:sz w:val="20"/>
          <w:szCs w:val="20"/>
        </w:rPr>
      </w:pPr>
      <w:r w:rsidRPr="007932C0">
        <w:rPr>
          <w:i/>
          <w:sz w:val="20"/>
          <w:szCs w:val="20"/>
        </w:rPr>
        <w:t xml:space="preserve"> </w:t>
      </w:r>
    </w:p>
    <w:p w14:paraId="7A112000" w14:textId="66E73994" w:rsidR="00C0757E" w:rsidRDefault="00C0757E">
      <w:pPr>
        <w:rPr>
          <w:i/>
          <w:sz w:val="20"/>
          <w:szCs w:val="20"/>
        </w:rPr>
      </w:pPr>
    </w:p>
    <w:p w14:paraId="3ADB5792" w14:textId="73045212" w:rsidR="00D2477D" w:rsidRDefault="00C0757E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CB4B40A" wp14:editId="2EC5F505">
            <wp:extent cx="5762625" cy="2600325"/>
            <wp:effectExtent l="0" t="0" r="9525" b="9525"/>
            <wp:docPr id="4987899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6CB0594-8B7D-9CAB-CA4A-F2D079E31E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932C0">
        <w:rPr>
          <w:i/>
          <w:sz w:val="20"/>
          <w:szCs w:val="20"/>
        </w:rPr>
        <w:t>Figure 1: Engagement in culture and arts by adults in Armagh City, Banbridge and Craigavon Borough and Northern Ireland 20</w:t>
      </w:r>
      <w:r w:rsidR="0035344A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3</w:t>
      </w:r>
      <w:r w:rsidR="0035344A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7932C0" w:rsidRPr="008C1EDC">
        <w:rPr>
          <w:i/>
          <w:sz w:val="20"/>
          <w:szCs w:val="20"/>
        </w:rPr>
        <w:t xml:space="preserve">. Source: </w:t>
      </w:r>
      <w:r w:rsidR="007932C0">
        <w:rPr>
          <w:i/>
          <w:sz w:val="20"/>
          <w:szCs w:val="20"/>
        </w:rPr>
        <w:t>Continuous Household Survey, Department for Communities</w:t>
      </w:r>
      <w:r w:rsidR="007932C0" w:rsidRPr="008C1EDC">
        <w:rPr>
          <w:i/>
          <w:sz w:val="20"/>
          <w:szCs w:val="20"/>
        </w:rPr>
        <w:t>.</w:t>
      </w:r>
    </w:p>
    <w:p w14:paraId="2BC956B3" w14:textId="77777777" w:rsidR="00381E1E" w:rsidRDefault="00535EBD" w:rsidP="00381E1E">
      <w:r>
        <w:t>The N</w:t>
      </w:r>
      <w:r w:rsidR="005139F7">
        <w:t>orthern Ireland Life and Times S</w:t>
      </w:r>
      <w:r>
        <w:t xml:space="preserve">urvey </w:t>
      </w:r>
      <w:r w:rsidR="005139F7">
        <w:t>(NILT</w:t>
      </w:r>
      <w:r w:rsidR="00284A71">
        <w:t>)</w:t>
      </w:r>
      <w:r w:rsidR="00435F79">
        <w:rPr>
          <w:rStyle w:val="FootnoteReference"/>
        </w:rPr>
        <w:footnoteReference w:id="2"/>
      </w:r>
      <w:r w:rsidR="00284A71">
        <w:t xml:space="preserve"> </w:t>
      </w:r>
      <w:r>
        <w:t>deals with the attitudes, values and beliefs of the people in Northern Ireland on a wide range of social policy issues</w:t>
      </w:r>
      <w:r w:rsidR="00284A71">
        <w:t>, including culture and traditions.</w:t>
      </w:r>
    </w:p>
    <w:p w14:paraId="660FCBEB" w14:textId="77777777" w:rsidR="00284A71" w:rsidRDefault="005139F7" w:rsidP="00381E1E">
      <w:r>
        <w:t>The NILT</w:t>
      </w:r>
      <w:r w:rsidR="00284A71">
        <w:t xml:space="preserve"> survey asks respondents how much they agree that:</w:t>
      </w:r>
    </w:p>
    <w:p w14:paraId="070EEDBC" w14:textId="77777777" w:rsidR="00284A71" w:rsidRDefault="00284A71" w:rsidP="00284A71">
      <w:pPr>
        <w:pStyle w:val="ListParagraph"/>
        <w:numPr>
          <w:ilvl w:val="0"/>
          <w:numId w:val="1"/>
        </w:numPr>
      </w:pPr>
      <w:r>
        <w:t>The culture and traditions of the Catholic community add to the richness and diversity of Northern Ireland society.</w:t>
      </w:r>
    </w:p>
    <w:p w14:paraId="62C30655" w14:textId="77777777" w:rsidR="00284A71" w:rsidRDefault="00284A71" w:rsidP="00284A71">
      <w:pPr>
        <w:pStyle w:val="ListParagraph"/>
        <w:numPr>
          <w:ilvl w:val="0"/>
          <w:numId w:val="1"/>
        </w:numPr>
      </w:pPr>
      <w:r>
        <w:t>The culture and traditions of the Protestant Community add to the richness and diversity of Northern Ireland society.</w:t>
      </w:r>
    </w:p>
    <w:p w14:paraId="6ED6DE31" w14:textId="77777777" w:rsidR="00284A71" w:rsidRDefault="00284A71" w:rsidP="00284A71">
      <w:pPr>
        <w:pStyle w:val="ListParagraph"/>
        <w:numPr>
          <w:ilvl w:val="0"/>
          <w:numId w:val="1"/>
        </w:numPr>
      </w:pPr>
      <w:r>
        <w:t>The culture and traditions of people from different minority ethnic groups adds to the richness and diversity of Northern Ireland society.</w:t>
      </w:r>
    </w:p>
    <w:p w14:paraId="6F17E3EC" w14:textId="5982D30A" w:rsidR="00236585" w:rsidRDefault="0098260A" w:rsidP="00284A71">
      <w:r>
        <w:t xml:space="preserve">Results for Armagh City, Banbridge and Craigavon </w:t>
      </w:r>
      <w:r w:rsidR="006C7C99">
        <w:t>Boroug</w:t>
      </w:r>
      <w:r w:rsidR="00236585">
        <w:t>h for the combined years of 20</w:t>
      </w:r>
      <w:r w:rsidR="005049DD">
        <w:t>2</w:t>
      </w:r>
      <w:r w:rsidR="00A820EE">
        <w:t>1</w:t>
      </w:r>
      <w:r w:rsidR="00236585">
        <w:t>, 202</w:t>
      </w:r>
      <w:r w:rsidR="00A820EE">
        <w:t>2</w:t>
      </w:r>
      <w:r w:rsidR="005049DD">
        <w:t xml:space="preserve"> </w:t>
      </w:r>
      <w:r w:rsidR="00236585">
        <w:t>and 202</w:t>
      </w:r>
      <w:r w:rsidR="00A820EE">
        <w:t>3</w:t>
      </w:r>
      <w:r w:rsidR="006C7C99">
        <w:t xml:space="preserve"> </w:t>
      </w:r>
      <w:r>
        <w:t>are similar to those for Northern Ireland overall when it comes to the culture and traditions of the Catholic and Protestant community</w:t>
      </w:r>
      <w:r w:rsidR="001E18DF">
        <w:t xml:space="preserve"> adding to the richness and diversity of Northern Ireland society</w:t>
      </w:r>
      <w:r>
        <w:t>.</w:t>
      </w:r>
      <w:r w:rsidR="002B5AEA">
        <w:t xml:space="preserve"> </w:t>
      </w:r>
      <w:r w:rsidR="00E778A0">
        <w:t xml:space="preserve">Approximately </w:t>
      </w:r>
      <w:r w:rsidR="0067115F">
        <w:t>6</w:t>
      </w:r>
      <w:r w:rsidR="00A820EE">
        <w:t>4</w:t>
      </w:r>
      <w:r w:rsidR="001E18DF">
        <w:t xml:space="preserve">% of respondents in the borough agree that the culture and traditions of the Catholic community add to the richness and diversity of Northern Ireland society. </w:t>
      </w:r>
      <w:r w:rsidR="0067115F">
        <w:t>The proportion in agreement was slightly higher in Northern Ireland overall</w:t>
      </w:r>
      <w:r w:rsidR="00E45AFE">
        <w:t xml:space="preserve"> (</w:t>
      </w:r>
      <w:r w:rsidR="00A820EE">
        <w:t>70.1</w:t>
      </w:r>
      <w:r w:rsidR="00E45AFE">
        <w:t>%)</w:t>
      </w:r>
      <w:r w:rsidR="0067115F">
        <w:t xml:space="preserve">.  </w:t>
      </w:r>
      <w:r w:rsidR="00A820EE">
        <w:t xml:space="preserve">With regards </w:t>
      </w:r>
      <w:r w:rsidR="00A820EE">
        <w:t>the culture and traditions of the Protestant community add</w:t>
      </w:r>
      <w:r w:rsidR="00A820EE">
        <w:t>ing</w:t>
      </w:r>
      <w:r w:rsidR="00A820EE">
        <w:t xml:space="preserve"> to the richness and diversity of Northern Ireland society</w:t>
      </w:r>
      <w:r w:rsidR="00A820EE">
        <w:t>, r</w:t>
      </w:r>
      <w:r w:rsidR="002B5AEA">
        <w:t xml:space="preserve">esults were </w:t>
      </w:r>
      <w:r w:rsidR="00FA37F6">
        <w:t xml:space="preserve">very </w:t>
      </w:r>
      <w:r w:rsidR="002B5AEA">
        <w:t xml:space="preserve">similar </w:t>
      </w:r>
      <w:r w:rsidR="00FA37F6">
        <w:t xml:space="preserve">for </w:t>
      </w:r>
      <w:r w:rsidR="001E18DF">
        <w:t>the borough</w:t>
      </w:r>
      <w:r w:rsidR="00E778A0">
        <w:t xml:space="preserve"> </w:t>
      </w:r>
      <w:r w:rsidR="001E18DF">
        <w:t>and Northern Ireland</w:t>
      </w:r>
      <w:r w:rsidR="00A820EE">
        <w:t xml:space="preserve"> overall with </w:t>
      </w:r>
      <w:r w:rsidR="00A820EE">
        <w:t xml:space="preserve">63% </w:t>
      </w:r>
      <w:r w:rsidR="00A820EE">
        <w:t xml:space="preserve">and </w:t>
      </w:r>
      <w:r w:rsidR="005049DD">
        <w:t>64</w:t>
      </w:r>
      <w:r w:rsidR="002B5AEA">
        <w:t>%</w:t>
      </w:r>
      <w:r w:rsidR="00A820EE">
        <w:t xml:space="preserve"> respectively</w:t>
      </w:r>
      <w:r w:rsidR="002B5AEA">
        <w:t xml:space="preserve"> </w:t>
      </w:r>
      <w:r w:rsidR="001E18DF">
        <w:t>agree</w:t>
      </w:r>
      <w:r w:rsidR="002B5AEA">
        <w:t>ing</w:t>
      </w:r>
      <w:r w:rsidR="001E18DF">
        <w:t xml:space="preserve"> </w:t>
      </w:r>
      <w:r w:rsidR="00A820EE">
        <w:t>with this</w:t>
      </w:r>
      <w:r w:rsidR="001E18DF">
        <w:t>.</w:t>
      </w:r>
      <w:r w:rsidR="00AB070E">
        <w:t xml:space="preserve"> Agreement that the culture and traditions of different minority ethnic groups add to the richness and diversity of Norther</w:t>
      </w:r>
      <w:r w:rsidR="002B5AEA">
        <w:t xml:space="preserve">n Ireland society </w:t>
      </w:r>
      <w:r w:rsidR="005049DD">
        <w:t>is similar to that</w:t>
      </w:r>
      <w:r w:rsidR="00AB070E">
        <w:t xml:space="preserve"> for Catholic/Protestant communities</w:t>
      </w:r>
      <w:r w:rsidR="00FA37F6">
        <w:t>, albeit slightly lower in the Borough</w:t>
      </w:r>
      <w:r w:rsidR="00AB070E">
        <w:t>. The levels of agreement in Northern Ireland overall for the culture and traditions of differ</w:t>
      </w:r>
      <w:r w:rsidR="0067115F">
        <w:t xml:space="preserve">ent minority ethnic groups is </w:t>
      </w:r>
      <w:r w:rsidR="00FA37F6">
        <w:t>65.9</w:t>
      </w:r>
      <w:r w:rsidR="00AB070E">
        <w:t>% while agreement in</w:t>
      </w:r>
      <w:r w:rsidR="00E778A0">
        <w:t xml:space="preserve"> the borough is </w:t>
      </w:r>
      <w:r w:rsidR="005049DD">
        <w:t>slightly</w:t>
      </w:r>
      <w:r w:rsidR="00E778A0">
        <w:t xml:space="preserve"> lower at </w:t>
      </w:r>
      <w:r w:rsidR="00FA37F6">
        <w:t>59.8</w:t>
      </w:r>
      <w:r w:rsidR="00AB070E">
        <w:t>%.</w:t>
      </w:r>
    </w:p>
    <w:p w14:paraId="5F0C6C90" w14:textId="77777777" w:rsidR="00035C4C" w:rsidRDefault="00035C4C" w:rsidP="00284A71"/>
    <w:tbl>
      <w:tblPr>
        <w:tblStyle w:val="TableGrid"/>
        <w:tblW w:w="0" w:type="auto"/>
        <w:tblLook w:val="04A0" w:firstRow="1" w:lastRow="0" w:firstColumn="1" w:lastColumn="0" w:noHBand="0" w:noVBand="1"/>
        <w:tblCaption w:val="Percentage of people who agree that the culture and traditions of the Catholic community/Protestant Community/different minority ethnic groups add to the richness and diversity of Northern Ireland society, Armagh City, Banbridge and Craigavon Borough and Northern Ireland 2018-20"/>
      </w:tblPr>
      <w:tblGrid>
        <w:gridCol w:w="1838"/>
        <w:gridCol w:w="960"/>
        <w:gridCol w:w="1244"/>
        <w:gridCol w:w="1243"/>
        <w:gridCol w:w="1244"/>
        <w:gridCol w:w="1243"/>
        <w:gridCol w:w="1244"/>
      </w:tblGrid>
      <w:tr w:rsidR="00284A71" w14:paraId="4E20B005" w14:textId="77777777" w:rsidTr="000F44CC">
        <w:trPr>
          <w:trHeight w:val="537"/>
          <w:tblHeader/>
        </w:trPr>
        <w:tc>
          <w:tcPr>
            <w:tcW w:w="1838" w:type="dxa"/>
            <w:vMerge w:val="restart"/>
          </w:tcPr>
          <w:p w14:paraId="6F1717E0" w14:textId="77777777" w:rsidR="00284A71" w:rsidRPr="00284A71" w:rsidRDefault="00284A71"/>
        </w:tc>
        <w:tc>
          <w:tcPr>
            <w:tcW w:w="7178" w:type="dxa"/>
            <w:gridSpan w:val="6"/>
          </w:tcPr>
          <w:p w14:paraId="63FBCE28" w14:textId="77777777" w:rsidR="00284A71" w:rsidRPr="006C7C99" w:rsidRDefault="00284A71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 xml:space="preserve">The </w:t>
            </w:r>
            <w:r w:rsidR="00767136" w:rsidRPr="006C7C99">
              <w:rPr>
                <w:b/>
              </w:rPr>
              <w:t>culture and traditions of  . . . . . add to the richness and diversity of Northern Ireland society</w:t>
            </w:r>
          </w:p>
        </w:tc>
      </w:tr>
      <w:tr w:rsidR="00767136" w14:paraId="3246A882" w14:textId="77777777" w:rsidTr="000F44CC">
        <w:trPr>
          <w:trHeight w:val="537"/>
        </w:trPr>
        <w:tc>
          <w:tcPr>
            <w:tcW w:w="1838" w:type="dxa"/>
            <w:vMerge/>
          </w:tcPr>
          <w:p w14:paraId="570D8156" w14:textId="77777777" w:rsidR="00767136" w:rsidRPr="00284A71" w:rsidRDefault="00767136"/>
        </w:tc>
        <w:tc>
          <w:tcPr>
            <w:tcW w:w="2204" w:type="dxa"/>
            <w:gridSpan w:val="2"/>
          </w:tcPr>
          <w:p w14:paraId="3C27B20F" w14:textId="77777777" w:rsidR="00D2477D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 xml:space="preserve">The Catholic </w:t>
            </w:r>
          </w:p>
          <w:p w14:paraId="59E6BFEA" w14:textId="77777777" w:rsidR="00767136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>community</w:t>
            </w:r>
          </w:p>
        </w:tc>
        <w:tc>
          <w:tcPr>
            <w:tcW w:w="2487" w:type="dxa"/>
            <w:gridSpan w:val="2"/>
          </w:tcPr>
          <w:p w14:paraId="045D6561" w14:textId="77777777" w:rsidR="00767136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>The Protestant community</w:t>
            </w:r>
          </w:p>
        </w:tc>
        <w:tc>
          <w:tcPr>
            <w:tcW w:w="2487" w:type="dxa"/>
            <w:gridSpan w:val="2"/>
          </w:tcPr>
          <w:p w14:paraId="0E06E6E6" w14:textId="77777777" w:rsidR="00D2477D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 xml:space="preserve">Different minority </w:t>
            </w:r>
          </w:p>
          <w:p w14:paraId="39D4C2EC" w14:textId="77777777" w:rsidR="00767136" w:rsidRPr="006C7C99" w:rsidRDefault="00767136" w:rsidP="00767136">
            <w:pPr>
              <w:jc w:val="center"/>
              <w:rPr>
                <w:b/>
              </w:rPr>
            </w:pPr>
            <w:r w:rsidRPr="006C7C99">
              <w:rPr>
                <w:b/>
              </w:rPr>
              <w:t>ethnic groups</w:t>
            </w:r>
          </w:p>
        </w:tc>
      </w:tr>
      <w:tr w:rsidR="00284A71" w14:paraId="3786DC56" w14:textId="77777777" w:rsidTr="000F44CC">
        <w:trPr>
          <w:trHeight w:val="215"/>
        </w:trPr>
        <w:tc>
          <w:tcPr>
            <w:tcW w:w="1838" w:type="dxa"/>
            <w:vMerge/>
          </w:tcPr>
          <w:p w14:paraId="5BBB55B9" w14:textId="77777777" w:rsidR="00284A71" w:rsidRPr="00284A71" w:rsidRDefault="00284A71"/>
        </w:tc>
        <w:tc>
          <w:tcPr>
            <w:tcW w:w="960" w:type="dxa"/>
            <w:vAlign w:val="center"/>
          </w:tcPr>
          <w:p w14:paraId="3CD47386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ABC</w:t>
            </w:r>
          </w:p>
        </w:tc>
        <w:tc>
          <w:tcPr>
            <w:tcW w:w="1244" w:type="dxa"/>
            <w:vAlign w:val="center"/>
          </w:tcPr>
          <w:p w14:paraId="3D60A2F0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NI</w:t>
            </w:r>
          </w:p>
        </w:tc>
        <w:tc>
          <w:tcPr>
            <w:tcW w:w="1243" w:type="dxa"/>
            <w:vAlign w:val="center"/>
          </w:tcPr>
          <w:p w14:paraId="3F57A110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ABC</w:t>
            </w:r>
          </w:p>
        </w:tc>
        <w:tc>
          <w:tcPr>
            <w:tcW w:w="1244" w:type="dxa"/>
            <w:vAlign w:val="center"/>
          </w:tcPr>
          <w:p w14:paraId="1FCAAE6B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NI</w:t>
            </w:r>
          </w:p>
        </w:tc>
        <w:tc>
          <w:tcPr>
            <w:tcW w:w="1243" w:type="dxa"/>
            <w:vAlign w:val="center"/>
          </w:tcPr>
          <w:p w14:paraId="3D91FCEA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ABC</w:t>
            </w:r>
          </w:p>
        </w:tc>
        <w:tc>
          <w:tcPr>
            <w:tcW w:w="1244" w:type="dxa"/>
            <w:vAlign w:val="center"/>
          </w:tcPr>
          <w:p w14:paraId="24A05FC5" w14:textId="77777777" w:rsidR="00284A71" w:rsidRPr="006C7C99" w:rsidRDefault="00284A71" w:rsidP="000F44CC">
            <w:pPr>
              <w:jc w:val="center"/>
              <w:rPr>
                <w:b/>
              </w:rPr>
            </w:pPr>
            <w:r w:rsidRPr="006C7C99">
              <w:rPr>
                <w:b/>
              </w:rPr>
              <w:t>NI</w:t>
            </w:r>
          </w:p>
        </w:tc>
      </w:tr>
      <w:tr w:rsidR="00035C4C" w14:paraId="41AA3235" w14:textId="77777777" w:rsidTr="008D0A53">
        <w:trPr>
          <w:trHeight w:val="205"/>
        </w:trPr>
        <w:tc>
          <w:tcPr>
            <w:tcW w:w="1838" w:type="dxa"/>
            <w:vAlign w:val="center"/>
          </w:tcPr>
          <w:p w14:paraId="4BBFABEE" w14:textId="77777777" w:rsidR="00035C4C" w:rsidRPr="006C7C99" w:rsidRDefault="00035C4C" w:rsidP="00035C4C">
            <w:pPr>
              <w:rPr>
                <w:b/>
              </w:rPr>
            </w:pPr>
            <w:r w:rsidRPr="006C7C99">
              <w:rPr>
                <w:b/>
              </w:rPr>
              <w:t>Strongly agree</w:t>
            </w:r>
          </w:p>
        </w:tc>
        <w:tc>
          <w:tcPr>
            <w:tcW w:w="960" w:type="dxa"/>
            <w:vAlign w:val="bottom"/>
          </w:tcPr>
          <w:p w14:paraId="13339764" w14:textId="1B653DEF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22.0%</w:t>
            </w:r>
          </w:p>
        </w:tc>
        <w:tc>
          <w:tcPr>
            <w:tcW w:w="1244" w:type="dxa"/>
            <w:vAlign w:val="bottom"/>
          </w:tcPr>
          <w:p w14:paraId="3D438735" w14:textId="095B93CE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27.1%</w:t>
            </w:r>
          </w:p>
        </w:tc>
        <w:tc>
          <w:tcPr>
            <w:tcW w:w="1243" w:type="dxa"/>
            <w:vAlign w:val="bottom"/>
          </w:tcPr>
          <w:p w14:paraId="62A6D8B7" w14:textId="21471590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16.7%</w:t>
            </w:r>
          </w:p>
        </w:tc>
        <w:tc>
          <w:tcPr>
            <w:tcW w:w="1244" w:type="dxa"/>
            <w:vAlign w:val="bottom"/>
          </w:tcPr>
          <w:p w14:paraId="35D4C3DD" w14:textId="640D278B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19.2%</w:t>
            </w:r>
          </w:p>
        </w:tc>
        <w:tc>
          <w:tcPr>
            <w:tcW w:w="1243" w:type="dxa"/>
            <w:vAlign w:val="bottom"/>
          </w:tcPr>
          <w:p w14:paraId="3E6AD7E4" w14:textId="68660262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13.7%</w:t>
            </w:r>
          </w:p>
        </w:tc>
        <w:tc>
          <w:tcPr>
            <w:tcW w:w="1244" w:type="dxa"/>
            <w:vAlign w:val="bottom"/>
          </w:tcPr>
          <w:p w14:paraId="23E9212B" w14:textId="6202DFBF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21.0%</w:t>
            </w:r>
          </w:p>
        </w:tc>
      </w:tr>
      <w:tr w:rsidR="00035C4C" w14:paraId="1E854CAF" w14:textId="77777777" w:rsidTr="008D0A53">
        <w:trPr>
          <w:trHeight w:val="295"/>
        </w:trPr>
        <w:tc>
          <w:tcPr>
            <w:tcW w:w="1838" w:type="dxa"/>
            <w:vAlign w:val="center"/>
          </w:tcPr>
          <w:p w14:paraId="3954EEF3" w14:textId="77777777" w:rsidR="00035C4C" w:rsidRPr="006C7C99" w:rsidRDefault="00035C4C" w:rsidP="00035C4C">
            <w:pPr>
              <w:rPr>
                <w:b/>
              </w:rPr>
            </w:pPr>
            <w:r w:rsidRPr="006C7C99">
              <w:rPr>
                <w:b/>
              </w:rPr>
              <w:t>Agree</w:t>
            </w:r>
          </w:p>
        </w:tc>
        <w:tc>
          <w:tcPr>
            <w:tcW w:w="960" w:type="dxa"/>
            <w:vAlign w:val="bottom"/>
          </w:tcPr>
          <w:p w14:paraId="0A5FB600" w14:textId="731851AB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42.1%</w:t>
            </w:r>
          </w:p>
        </w:tc>
        <w:tc>
          <w:tcPr>
            <w:tcW w:w="1244" w:type="dxa"/>
            <w:vAlign w:val="bottom"/>
          </w:tcPr>
          <w:p w14:paraId="14D5C9B0" w14:textId="1309239C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43.0%</w:t>
            </w:r>
          </w:p>
        </w:tc>
        <w:tc>
          <w:tcPr>
            <w:tcW w:w="1243" w:type="dxa"/>
            <w:vAlign w:val="bottom"/>
          </w:tcPr>
          <w:p w14:paraId="68A71471" w14:textId="588F8478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46.3%</w:t>
            </w:r>
          </w:p>
        </w:tc>
        <w:tc>
          <w:tcPr>
            <w:tcW w:w="1244" w:type="dxa"/>
            <w:vAlign w:val="bottom"/>
          </w:tcPr>
          <w:p w14:paraId="6CC81308" w14:textId="580B5314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44.8%</w:t>
            </w:r>
          </w:p>
        </w:tc>
        <w:tc>
          <w:tcPr>
            <w:tcW w:w="1243" w:type="dxa"/>
            <w:vAlign w:val="bottom"/>
          </w:tcPr>
          <w:p w14:paraId="528F0DE5" w14:textId="5341F27A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46.1%</w:t>
            </w:r>
          </w:p>
        </w:tc>
        <w:tc>
          <w:tcPr>
            <w:tcW w:w="1244" w:type="dxa"/>
            <w:vAlign w:val="bottom"/>
          </w:tcPr>
          <w:p w14:paraId="5514EAEC" w14:textId="14E3D00A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44.9%</w:t>
            </w:r>
          </w:p>
        </w:tc>
      </w:tr>
      <w:tr w:rsidR="00035C4C" w14:paraId="1E0BE852" w14:textId="77777777" w:rsidTr="008D0A53">
        <w:trPr>
          <w:trHeight w:val="537"/>
        </w:trPr>
        <w:tc>
          <w:tcPr>
            <w:tcW w:w="1838" w:type="dxa"/>
            <w:vAlign w:val="center"/>
          </w:tcPr>
          <w:p w14:paraId="7ADB8D18" w14:textId="77777777" w:rsidR="00035C4C" w:rsidRPr="006C7C99" w:rsidRDefault="00035C4C" w:rsidP="00035C4C">
            <w:pPr>
              <w:rPr>
                <w:b/>
              </w:rPr>
            </w:pPr>
            <w:r w:rsidRPr="006C7C99">
              <w:rPr>
                <w:b/>
              </w:rPr>
              <w:t>Neither agree nor disagree</w:t>
            </w:r>
          </w:p>
        </w:tc>
        <w:tc>
          <w:tcPr>
            <w:tcW w:w="960" w:type="dxa"/>
            <w:vAlign w:val="bottom"/>
          </w:tcPr>
          <w:p w14:paraId="53C0C269" w14:textId="71FFFAC4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25.2%</w:t>
            </w:r>
          </w:p>
        </w:tc>
        <w:tc>
          <w:tcPr>
            <w:tcW w:w="1244" w:type="dxa"/>
            <w:vAlign w:val="bottom"/>
          </w:tcPr>
          <w:p w14:paraId="24EF172E" w14:textId="1F79EA5E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20.8%</w:t>
            </w:r>
          </w:p>
        </w:tc>
        <w:tc>
          <w:tcPr>
            <w:tcW w:w="1243" w:type="dxa"/>
            <w:vAlign w:val="bottom"/>
          </w:tcPr>
          <w:p w14:paraId="0358FBCF" w14:textId="03F18367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23.5%</w:t>
            </w:r>
          </w:p>
        </w:tc>
        <w:tc>
          <w:tcPr>
            <w:tcW w:w="1244" w:type="dxa"/>
            <w:vAlign w:val="bottom"/>
          </w:tcPr>
          <w:p w14:paraId="07C0DB3E" w14:textId="36BD8041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21.6%</w:t>
            </w:r>
          </w:p>
        </w:tc>
        <w:tc>
          <w:tcPr>
            <w:tcW w:w="1243" w:type="dxa"/>
            <w:vAlign w:val="bottom"/>
          </w:tcPr>
          <w:p w14:paraId="0CA77EFE" w14:textId="312A0F35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28.5%</w:t>
            </w:r>
          </w:p>
        </w:tc>
        <w:tc>
          <w:tcPr>
            <w:tcW w:w="1244" w:type="dxa"/>
            <w:vAlign w:val="bottom"/>
          </w:tcPr>
          <w:p w14:paraId="10BF82DC" w14:textId="5295D6B4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24.6%</w:t>
            </w:r>
          </w:p>
        </w:tc>
      </w:tr>
      <w:tr w:rsidR="00035C4C" w14:paraId="2DB11BC4" w14:textId="77777777" w:rsidTr="008D0A53">
        <w:trPr>
          <w:trHeight w:val="279"/>
        </w:trPr>
        <w:tc>
          <w:tcPr>
            <w:tcW w:w="1838" w:type="dxa"/>
            <w:vAlign w:val="center"/>
          </w:tcPr>
          <w:p w14:paraId="49DC66AF" w14:textId="77777777" w:rsidR="00035C4C" w:rsidRPr="006C7C99" w:rsidRDefault="00035C4C" w:rsidP="00035C4C">
            <w:pPr>
              <w:rPr>
                <w:b/>
              </w:rPr>
            </w:pPr>
            <w:r w:rsidRPr="006C7C99">
              <w:rPr>
                <w:b/>
              </w:rPr>
              <w:t>Disagree</w:t>
            </w:r>
          </w:p>
        </w:tc>
        <w:tc>
          <w:tcPr>
            <w:tcW w:w="960" w:type="dxa"/>
            <w:vAlign w:val="bottom"/>
          </w:tcPr>
          <w:p w14:paraId="275C19B3" w14:textId="4467F44A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5.2%</w:t>
            </w:r>
          </w:p>
        </w:tc>
        <w:tc>
          <w:tcPr>
            <w:tcW w:w="1244" w:type="dxa"/>
            <w:vAlign w:val="bottom"/>
          </w:tcPr>
          <w:p w14:paraId="13529E81" w14:textId="3F4CC6F9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5.1%</w:t>
            </w:r>
          </w:p>
        </w:tc>
        <w:tc>
          <w:tcPr>
            <w:tcW w:w="1243" w:type="dxa"/>
            <w:vAlign w:val="bottom"/>
          </w:tcPr>
          <w:p w14:paraId="6397705C" w14:textId="451234A1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9.2%</w:t>
            </w:r>
          </w:p>
        </w:tc>
        <w:tc>
          <w:tcPr>
            <w:tcW w:w="1244" w:type="dxa"/>
            <w:vAlign w:val="bottom"/>
          </w:tcPr>
          <w:p w14:paraId="43BE6DC9" w14:textId="2D5D21F4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9.1%</w:t>
            </w:r>
          </w:p>
        </w:tc>
        <w:tc>
          <w:tcPr>
            <w:tcW w:w="1243" w:type="dxa"/>
            <w:vAlign w:val="bottom"/>
          </w:tcPr>
          <w:p w14:paraId="7B86953A" w14:textId="5B38A5AC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6.2%</w:t>
            </w:r>
          </w:p>
        </w:tc>
        <w:tc>
          <w:tcPr>
            <w:tcW w:w="1244" w:type="dxa"/>
            <w:vAlign w:val="bottom"/>
          </w:tcPr>
          <w:p w14:paraId="7517D0C5" w14:textId="05AD08A4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4.8%</w:t>
            </w:r>
          </w:p>
        </w:tc>
      </w:tr>
      <w:tr w:rsidR="00035C4C" w14:paraId="00C98742" w14:textId="77777777" w:rsidTr="008D0A53">
        <w:trPr>
          <w:trHeight w:val="283"/>
        </w:trPr>
        <w:tc>
          <w:tcPr>
            <w:tcW w:w="1838" w:type="dxa"/>
            <w:vAlign w:val="center"/>
          </w:tcPr>
          <w:p w14:paraId="7E82EDF7" w14:textId="77777777" w:rsidR="00035C4C" w:rsidRPr="006C7C99" w:rsidRDefault="00035C4C" w:rsidP="00035C4C">
            <w:pPr>
              <w:rPr>
                <w:b/>
              </w:rPr>
            </w:pPr>
            <w:r w:rsidRPr="006C7C99">
              <w:rPr>
                <w:b/>
              </w:rPr>
              <w:t>Strongly disagree</w:t>
            </w:r>
          </w:p>
        </w:tc>
        <w:tc>
          <w:tcPr>
            <w:tcW w:w="960" w:type="dxa"/>
            <w:vAlign w:val="bottom"/>
          </w:tcPr>
          <w:p w14:paraId="7FF00CAB" w14:textId="7F5784BB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2.5%</w:t>
            </w:r>
          </w:p>
        </w:tc>
        <w:tc>
          <w:tcPr>
            <w:tcW w:w="1244" w:type="dxa"/>
            <w:vAlign w:val="bottom"/>
          </w:tcPr>
          <w:p w14:paraId="37230AB6" w14:textId="0B58FDE5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1.5%</w:t>
            </w:r>
          </w:p>
        </w:tc>
        <w:tc>
          <w:tcPr>
            <w:tcW w:w="1243" w:type="dxa"/>
            <w:vAlign w:val="bottom"/>
          </w:tcPr>
          <w:p w14:paraId="565EB511" w14:textId="6E109A24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1.5%</w:t>
            </w:r>
          </w:p>
        </w:tc>
        <w:tc>
          <w:tcPr>
            <w:tcW w:w="1244" w:type="dxa"/>
            <w:vAlign w:val="bottom"/>
          </w:tcPr>
          <w:p w14:paraId="0A553BEC" w14:textId="4FA3F2DB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2.9%</w:t>
            </w:r>
          </w:p>
        </w:tc>
        <w:tc>
          <w:tcPr>
            <w:tcW w:w="1243" w:type="dxa"/>
            <w:vAlign w:val="bottom"/>
          </w:tcPr>
          <w:p w14:paraId="02E8920C" w14:textId="41961E88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1.8%</w:t>
            </w:r>
          </w:p>
        </w:tc>
        <w:tc>
          <w:tcPr>
            <w:tcW w:w="1244" w:type="dxa"/>
            <w:vAlign w:val="bottom"/>
          </w:tcPr>
          <w:p w14:paraId="2F378A83" w14:textId="2E8A7F5E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1.7%</w:t>
            </w:r>
          </w:p>
        </w:tc>
      </w:tr>
      <w:tr w:rsidR="00035C4C" w14:paraId="346A3E87" w14:textId="77777777" w:rsidTr="008D0A53">
        <w:trPr>
          <w:trHeight w:val="272"/>
        </w:trPr>
        <w:tc>
          <w:tcPr>
            <w:tcW w:w="1838" w:type="dxa"/>
            <w:vAlign w:val="center"/>
          </w:tcPr>
          <w:p w14:paraId="4E5693EA" w14:textId="77777777" w:rsidR="00035C4C" w:rsidRPr="006C7C99" w:rsidRDefault="00035C4C" w:rsidP="00035C4C">
            <w:pPr>
              <w:rPr>
                <w:b/>
              </w:rPr>
            </w:pPr>
            <w:r w:rsidRPr="006C7C99">
              <w:rPr>
                <w:b/>
              </w:rPr>
              <w:t>Don’t know</w:t>
            </w:r>
          </w:p>
        </w:tc>
        <w:tc>
          <w:tcPr>
            <w:tcW w:w="960" w:type="dxa"/>
            <w:vAlign w:val="bottom"/>
          </w:tcPr>
          <w:p w14:paraId="6A7566E7" w14:textId="24D9B8F3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2.8%</w:t>
            </w:r>
          </w:p>
        </w:tc>
        <w:tc>
          <w:tcPr>
            <w:tcW w:w="1244" w:type="dxa"/>
            <w:vAlign w:val="bottom"/>
          </w:tcPr>
          <w:p w14:paraId="34F98AA1" w14:textId="55AB3D15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2.4%</w:t>
            </w:r>
          </w:p>
        </w:tc>
        <w:tc>
          <w:tcPr>
            <w:tcW w:w="1243" w:type="dxa"/>
            <w:vAlign w:val="bottom"/>
          </w:tcPr>
          <w:p w14:paraId="64480CBE" w14:textId="3AB0C2AC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2.6%</w:t>
            </w:r>
          </w:p>
        </w:tc>
        <w:tc>
          <w:tcPr>
            <w:tcW w:w="1244" w:type="dxa"/>
            <w:vAlign w:val="bottom"/>
          </w:tcPr>
          <w:p w14:paraId="3B1DAF16" w14:textId="62BA2D3E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2.4%</w:t>
            </w:r>
          </w:p>
        </w:tc>
        <w:tc>
          <w:tcPr>
            <w:tcW w:w="1243" w:type="dxa"/>
            <w:vAlign w:val="bottom"/>
          </w:tcPr>
          <w:p w14:paraId="7CD2C591" w14:textId="16C963C6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3.7%</w:t>
            </w:r>
          </w:p>
        </w:tc>
        <w:tc>
          <w:tcPr>
            <w:tcW w:w="1244" w:type="dxa"/>
            <w:vAlign w:val="bottom"/>
          </w:tcPr>
          <w:p w14:paraId="3CF23F11" w14:textId="7D7DB685" w:rsidR="00035C4C" w:rsidRPr="00284A71" w:rsidRDefault="00035C4C" w:rsidP="00035C4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2.8%</w:t>
            </w:r>
          </w:p>
        </w:tc>
      </w:tr>
    </w:tbl>
    <w:p w14:paraId="51B6114F" w14:textId="4D20AABB" w:rsidR="00A820EE" w:rsidRDefault="004B5004" w:rsidP="0079173A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</w:t>
      </w:r>
      <w:r w:rsidRPr="008C1EDC">
        <w:rPr>
          <w:i/>
          <w:sz w:val="20"/>
          <w:szCs w:val="20"/>
        </w:rPr>
        <w:t xml:space="preserve">: </w:t>
      </w:r>
      <w:r w:rsidR="0098260A">
        <w:rPr>
          <w:i/>
          <w:sz w:val="20"/>
          <w:szCs w:val="20"/>
        </w:rPr>
        <w:t xml:space="preserve">Percentage of people who agree that the culture and traditions of the Catholic community/Protestant Community/different minority ethnic groups add to the richness and diversity of Northern Ireland society, </w:t>
      </w:r>
      <w:r w:rsidR="006F7F80">
        <w:rPr>
          <w:i/>
          <w:sz w:val="20"/>
          <w:szCs w:val="20"/>
        </w:rPr>
        <w:t xml:space="preserve">Armagh City, Banbridge and Craigavon Borough and Northern Ireland </w:t>
      </w:r>
      <w:r w:rsidR="00236585">
        <w:rPr>
          <w:i/>
          <w:sz w:val="20"/>
          <w:szCs w:val="20"/>
        </w:rPr>
        <w:t>20</w:t>
      </w:r>
      <w:r w:rsidR="004E6447">
        <w:rPr>
          <w:i/>
          <w:sz w:val="20"/>
          <w:szCs w:val="20"/>
        </w:rPr>
        <w:t>2</w:t>
      </w:r>
      <w:r w:rsidR="00035C4C">
        <w:rPr>
          <w:i/>
          <w:sz w:val="20"/>
          <w:szCs w:val="20"/>
        </w:rPr>
        <w:t>1</w:t>
      </w:r>
      <w:r w:rsidR="004E6447">
        <w:rPr>
          <w:i/>
          <w:sz w:val="20"/>
          <w:szCs w:val="20"/>
        </w:rPr>
        <w:t>-2</w:t>
      </w:r>
      <w:r w:rsidR="00035C4C">
        <w:rPr>
          <w:i/>
          <w:sz w:val="20"/>
          <w:szCs w:val="20"/>
        </w:rPr>
        <w:t>3</w:t>
      </w:r>
      <w:r w:rsidRPr="008C1EDC">
        <w:rPr>
          <w:i/>
          <w:sz w:val="20"/>
          <w:szCs w:val="20"/>
        </w:rPr>
        <w:t xml:space="preserve">. Source: </w:t>
      </w:r>
      <w:r w:rsidR="0098260A">
        <w:rPr>
          <w:i/>
          <w:sz w:val="20"/>
          <w:szCs w:val="20"/>
        </w:rPr>
        <w:t>Northern Ireland Life and Times Survey (ARK)</w:t>
      </w:r>
      <w:r w:rsidRPr="008C1EDC">
        <w:rPr>
          <w:i/>
          <w:sz w:val="20"/>
          <w:szCs w:val="20"/>
        </w:rPr>
        <w:t>.</w:t>
      </w:r>
      <w:r w:rsidR="004B5682">
        <w:rPr>
          <w:i/>
          <w:sz w:val="20"/>
          <w:szCs w:val="20"/>
        </w:rPr>
        <w:t xml:space="preserve"> </w:t>
      </w:r>
    </w:p>
    <w:p w14:paraId="34A9EC53" w14:textId="719A79E0" w:rsidR="0079173A" w:rsidRPr="002636FF" w:rsidRDefault="00A820EE" w:rsidP="0079173A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4E42799D" wp14:editId="4BDDEB11">
            <wp:extent cx="5743575" cy="3181350"/>
            <wp:effectExtent l="0" t="0" r="9525" b="0"/>
            <wp:docPr id="15730220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9F2313C-EAC5-3070-37D5-D5A2A55CE1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9173A">
        <w:rPr>
          <w:i/>
          <w:sz w:val="20"/>
          <w:szCs w:val="20"/>
        </w:rPr>
        <w:t>Figure 2</w:t>
      </w:r>
      <w:r w:rsidR="0079173A" w:rsidRPr="008C1EDC">
        <w:rPr>
          <w:i/>
          <w:sz w:val="20"/>
          <w:szCs w:val="20"/>
        </w:rPr>
        <w:t xml:space="preserve">: </w:t>
      </w:r>
      <w:r w:rsidR="006F7F80">
        <w:rPr>
          <w:i/>
          <w:sz w:val="20"/>
          <w:szCs w:val="20"/>
        </w:rPr>
        <w:t>Percentage of people who agree that the culture and traditions of the Catholic community/Protestant Community/different minority ethnic groups add to the richness and diversity of Northern Ireland society, Armagh City, Banbridge and Craigavon Borough and Northern Ireland 20</w:t>
      </w:r>
      <w:r w:rsidR="005871D8">
        <w:rPr>
          <w:i/>
          <w:sz w:val="20"/>
          <w:szCs w:val="20"/>
        </w:rPr>
        <w:t>2</w:t>
      </w:r>
      <w:r w:rsidR="00035C4C">
        <w:rPr>
          <w:i/>
          <w:sz w:val="20"/>
          <w:szCs w:val="20"/>
        </w:rPr>
        <w:t>1</w:t>
      </w:r>
      <w:r w:rsidR="006F7F80">
        <w:rPr>
          <w:i/>
          <w:sz w:val="20"/>
          <w:szCs w:val="20"/>
        </w:rPr>
        <w:t>-</w:t>
      </w:r>
      <w:r w:rsidR="005871D8">
        <w:rPr>
          <w:i/>
          <w:sz w:val="20"/>
          <w:szCs w:val="20"/>
        </w:rPr>
        <w:t>202</w:t>
      </w:r>
      <w:r w:rsidR="00035C4C">
        <w:rPr>
          <w:i/>
          <w:sz w:val="20"/>
          <w:szCs w:val="20"/>
        </w:rPr>
        <w:t>3</w:t>
      </w:r>
      <w:r w:rsidR="006F7F80" w:rsidRPr="008C1EDC">
        <w:rPr>
          <w:i/>
          <w:sz w:val="20"/>
          <w:szCs w:val="20"/>
        </w:rPr>
        <w:t xml:space="preserve">. Source: </w:t>
      </w:r>
      <w:r w:rsidR="006F7F80">
        <w:rPr>
          <w:i/>
          <w:sz w:val="20"/>
          <w:szCs w:val="20"/>
        </w:rPr>
        <w:t>Northern Ireland Life and Times Survey (ARK)</w:t>
      </w:r>
      <w:r w:rsidR="006F7F80" w:rsidRPr="008C1EDC">
        <w:rPr>
          <w:i/>
          <w:sz w:val="20"/>
          <w:szCs w:val="20"/>
        </w:rPr>
        <w:t>.</w:t>
      </w:r>
    </w:p>
    <w:p w14:paraId="6C7250B2" w14:textId="0FE3587A" w:rsidR="001464FA" w:rsidRDefault="002636FF" w:rsidP="0079173A">
      <w:r>
        <w:t>Further information on culture and arts</w:t>
      </w:r>
      <w:r w:rsidR="00BC5454">
        <w:t xml:space="preserve"> can be found via the following link</w:t>
      </w:r>
      <w:r>
        <w:t>s</w:t>
      </w:r>
      <w:r w:rsidR="00BC5454">
        <w:t>:</w:t>
      </w:r>
    </w:p>
    <w:p w14:paraId="788EA436" w14:textId="77777777" w:rsidR="002636FF" w:rsidRDefault="002636FF" w:rsidP="0079173A">
      <w:hyperlink r:id="rId10" w:history="1">
        <w:r>
          <w:rPr>
            <w:rStyle w:val="Hyperlink"/>
          </w:rPr>
          <w:t>https://www.communities-ni.gov.uk/topics/statistics-and-research/sport-museums-and-libraries-statistics</w:t>
        </w:r>
      </w:hyperlink>
    </w:p>
    <w:p w14:paraId="133EAD05" w14:textId="77777777" w:rsidR="002636FF" w:rsidRDefault="002636FF" w:rsidP="0079173A">
      <w:pPr>
        <w:rPr>
          <w:i/>
          <w:sz w:val="20"/>
          <w:szCs w:val="20"/>
        </w:rPr>
      </w:pPr>
      <w:hyperlink r:id="rId11" w:history="1">
        <w:r>
          <w:rPr>
            <w:rStyle w:val="Hyperlink"/>
          </w:rPr>
          <w:t>https://www.ark.ac.uk/nilt/</w:t>
        </w:r>
      </w:hyperlink>
    </w:p>
    <w:sectPr w:rsidR="002636F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1329C" w14:textId="77777777" w:rsidR="00FD3BCA" w:rsidRDefault="00FD3BCA" w:rsidP="009470B4">
      <w:pPr>
        <w:spacing w:after="0" w:line="240" w:lineRule="auto"/>
      </w:pPr>
      <w:r>
        <w:separator/>
      </w:r>
    </w:p>
  </w:endnote>
  <w:endnote w:type="continuationSeparator" w:id="0">
    <w:p w14:paraId="5C41B486" w14:textId="77777777" w:rsidR="00FD3BCA" w:rsidRDefault="00FD3BCA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BD753" w14:textId="16F6408C"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3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C0716D" w14:textId="77777777"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B4545" w14:textId="77777777" w:rsidR="00FD3BCA" w:rsidRDefault="00FD3BCA" w:rsidP="009470B4">
      <w:pPr>
        <w:spacing w:after="0" w:line="240" w:lineRule="auto"/>
      </w:pPr>
      <w:r>
        <w:separator/>
      </w:r>
    </w:p>
  </w:footnote>
  <w:footnote w:type="continuationSeparator" w:id="0">
    <w:p w14:paraId="11335756" w14:textId="77777777" w:rsidR="00FD3BCA" w:rsidRDefault="00FD3BCA" w:rsidP="009470B4">
      <w:pPr>
        <w:spacing w:after="0" w:line="240" w:lineRule="auto"/>
      </w:pPr>
      <w:r>
        <w:continuationSeparator/>
      </w:r>
    </w:p>
  </w:footnote>
  <w:footnote w:id="1">
    <w:p w14:paraId="6CABA638" w14:textId="77777777" w:rsidR="00435F79" w:rsidRDefault="00435F79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1" w:history="1">
        <w:r>
          <w:rPr>
            <w:rStyle w:val="Hyperlink"/>
          </w:rPr>
          <w:t>https://www.nisra.gov.uk/statistics/central-survey-unit/continuous-household-survey</w:t>
        </w:r>
      </w:hyperlink>
    </w:p>
  </w:footnote>
  <w:footnote w:id="2">
    <w:p w14:paraId="10149B79" w14:textId="77777777" w:rsidR="00435F79" w:rsidRDefault="00435F79">
      <w:pPr>
        <w:pStyle w:val="FootnoteText"/>
      </w:pPr>
      <w:r>
        <w:rPr>
          <w:rStyle w:val="FootnoteReference"/>
        </w:rPr>
        <w:footnoteRef/>
      </w:r>
      <w:r>
        <w:t xml:space="preserve"> Northern Ireland Life and Times Survey (ARK) - </w:t>
      </w:r>
      <w:hyperlink r:id="rId2" w:history="1">
        <w:r>
          <w:rPr>
            <w:rStyle w:val="Hyperlink"/>
          </w:rPr>
          <w:t>https://www.ark.ac.uk/nilt/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F3A"/>
    <w:multiLevelType w:val="hybridMultilevel"/>
    <w:tmpl w:val="9B92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7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7"/>
    <w:rsid w:val="00000FE7"/>
    <w:rsid w:val="00015C89"/>
    <w:rsid w:val="00035C4C"/>
    <w:rsid w:val="000C7CE8"/>
    <w:rsid w:val="000F44CC"/>
    <w:rsid w:val="00142398"/>
    <w:rsid w:val="00144DDE"/>
    <w:rsid w:val="001464FA"/>
    <w:rsid w:val="001530DE"/>
    <w:rsid w:val="00154E71"/>
    <w:rsid w:val="001E18DF"/>
    <w:rsid w:val="0022340B"/>
    <w:rsid w:val="00236585"/>
    <w:rsid w:val="002636FF"/>
    <w:rsid w:val="00265E55"/>
    <w:rsid w:val="00284A71"/>
    <w:rsid w:val="00293E93"/>
    <w:rsid w:val="002B13D9"/>
    <w:rsid w:val="002B5AEA"/>
    <w:rsid w:val="0035344A"/>
    <w:rsid w:val="003764F3"/>
    <w:rsid w:val="00381E1E"/>
    <w:rsid w:val="003F362C"/>
    <w:rsid w:val="00435F79"/>
    <w:rsid w:val="00470647"/>
    <w:rsid w:val="00482A87"/>
    <w:rsid w:val="00494448"/>
    <w:rsid w:val="004B5004"/>
    <w:rsid w:val="004B5682"/>
    <w:rsid w:val="004E6447"/>
    <w:rsid w:val="004E781E"/>
    <w:rsid w:val="005049DD"/>
    <w:rsid w:val="005139F7"/>
    <w:rsid w:val="00535EBD"/>
    <w:rsid w:val="00541B20"/>
    <w:rsid w:val="00543353"/>
    <w:rsid w:val="00543809"/>
    <w:rsid w:val="00546B94"/>
    <w:rsid w:val="005871D8"/>
    <w:rsid w:val="00596090"/>
    <w:rsid w:val="005968A8"/>
    <w:rsid w:val="0062713E"/>
    <w:rsid w:val="0067115F"/>
    <w:rsid w:val="006C7C99"/>
    <w:rsid w:val="006E4145"/>
    <w:rsid w:val="006F7F80"/>
    <w:rsid w:val="00704EA7"/>
    <w:rsid w:val="00765816"/>
    <w:rsid w:val="00767136"/>
    <w:rsid w:val="0079173A"/>
    <w:rsid w:val="007932C0"/>
    <w:rsid w:val="007C7AFB"/>
    <w:rsid w:val="00814542"/>
    <w:rsid w:val="0081757F"/>
    <w:rsid w:val="00820F29"/>
    <w:rsid w:val="00836E9E"/>
    <w:rsid w:val="0084512A"/>
    <w:rsid w:val="00854301"/>
    <w:rsid w:val="00873E0D"/>
    <w:rsid w:val="00895087"/>
    <w:rsid w:val="008B16CA"/>
    <w:rsid w:val="008C1EDC"/>
    <w:rsid w:val="008C3787"/>
    <w:rsid w:val="0090727E"/>
    <w:rsid w:val="009470B4"/>
    <w:rsid w:val="0098260A"/>
    <w:rsid w:val="00A048A3"/>
    <w:rsid w:val="00A0792D"/>
    <w:rsid w:val="00A47314"/>
    <w:rsid w:val="00A64F03"/>
    <w:rsid w:val="00A70F15"/>
    <w:rsid w:val="00A76810"/>
    <w:rsid w:val="00A820EE"/>
    <w:rsid w:val="00A9303E"/>
    <w:rsid w:val="00A95C11"/>
    <w:rsid w:val="00AB070E"/>
    <w:rsid w:val="00B92990"/>
    <w:rsid w:val="00BC0658"/>
    <w:rsid w:val="00BC5454"/>
    <w:rsid w:val="00C0757E"/>
    <w:rsid w:val="00C17259"/>
    <w:rsid w:val="00C42B0F"/>
    <w:rsid w:val="00CA4354"/>
    <w:rsid w:val="00CA73A0"/>
    <w:rsid w:val="00D14FF4"/>
    <w:rsid w:val="00D2477D"/>
    <w:rsid w:val="00D46CBB"/>
    <w:rsid w:val="00D82855"/>
    <w:rsid w:val="00DA7262"/>
    <w:rsid w:val="00DC0E4D"/>
    <w:rsid w:val="00DD1313"/>
    <w:rsid w:val="00E00CE7"/>
    <w:rsid w:val="00E418D1"/>
    <w:rsid w:val="00E41CE3"/>
    <w:rsid w:val="00E45AFE"/>
    <w:rsid w:val="00E67B27"/>
    <w:rsid w:val="00E778A0"/>
    <w:rsid w:val="00EE6727"/>
    <w:rsid w:val="00F008E3"/>
    <w:rsid w:val="00F14B8F"/>
    <w:rsid w:val="00F56A12"/>
    <w:rsid w:val="00F81370"/>
    <w:rsid w:val="00FA37F6"/>
    <w:rsid w:val="00FD033F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76F5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BC54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A71"/>
    <w:pPr>
      <w:ind w:left="720"/>
      <w:contextualSpacing/>
    </w:pPr>
  </w:style>
  <w:style w:type="table" w:styleId="TableGrid">
    <w:name w:val="Table Grid"/>
    <w:basedOn w:val="TableNormal"/>
    <w:uiPriority w:val="39"/>
    <w:rsid w:val="0028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5F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F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F79"/>
    <w:rPr>
      <w:vertAlign w:val="superscript"/>
    </w:rPr>
  </w:style>
  <w:style w:type="table" w:styleId="GridTable1Light">
    <w:name w:val="Grid Table 1 Light"/>
    <w:basedOn w:val="TableNormal"/>
    <w:uiPriority w:val="46"/>
    <w:rsid w:val="00A95C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k.ac.uk/nil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munities-ni.gov.uk/topics/statistics-and-research/sport-museums-and-libraries-statistic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k.ac.uk/nilt/" TargetMode="External"/><Relationship Id="rId1" Type="http://schemas.openxmlformats.org/officeDocument/2006/relationships/hyperlink" Target="https://www.nisra.gov.uk/statistics/central-survey-unit/continuous-household-surve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Tourism%20and%20Culture\2022%20Updates\NILT%20Table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Sheet1!$K$3</c:f>
              <c:strCache>
                <c:ptCount val="1"/>
                <c:pt idx="0">
                  <c:v>Armagh City, Banbridge and Craigavon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Sheet1!$J$4:$J$9</c:f>
              <c:strCache>
                <c:ptCount val="6"/>
                <c:pt idx="0">
                  <c:v>Engaged in culture and arts</c:v>
                </c:pt>
                <c:pt idx="1">
                  <c:v>Participated in arts activities</c:v>
                </c:pt>
                <c:pt idx="2">
                  <c:v>Attended an arts event</c:v>
                </c:pt>
                <c:pt idx="3">
                  <c:v>Used the public library service</c:v>
                </c:pt>
                <c:pt idx="4">
                  <c:v>Visited a museum or science centre</c:v>
                </c:pt>
                <c:pt idx="5">
                  <c:v>Visited PRONI</c:v>
                </c:pt>
              </c:strCache>
            </c:strRef>
          </c:cat>
          <c:val>
            <c:numRef>
              <c:f>Sheet1!$K$4:$K$9</c:f>
              <c:numCache>
                <c:formatCode>0%</c:formatCode>
                <c:ptCount val="6"/>
                <c:pt idx="0">
                  <c:v>0.86</c:v>
                </c:pt>
                <c:pt idx="1">
                  <c:v>0.35</c:v>
                </c:pt>
                <c:pt idx="2">
                  <c:v>0.78</c:v>
                </c:pt>
                <c:pt idx="3">
                  <c:v>0.3</c:v>
                </c:pt>
                <c:pt idx="4">
                  <c:v>0.36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45-4A0D-AF93-DC466C5D04AD}"/>
            </c:ext>
          </c:extLst>
        </c:ser>
        <c:ser>
          <c:idx val="1"/>
          <c:order val="1"/>
          <c:tx>
            <c:strRef>
              <c:f>Sheet1!$L$3</c:f>
              <c:strCache>
                <c:ptCount val="1"/>
                <c:pt idx="0">
                  <c:v>Northern Ireland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Sheet1!$J$4:$J$9</c:f>
              <c:strCache>
                <c:ptCount val="6"/>
                <c:pt idx="0">
                  <c:v>Engaged in culture and arts</c:v>
                </c:pt>
                <c:pt idx="1">
                  <c:v>Participated in arts activities</c:v>
                </c:pt>
                <c:pt idx="2">
                  <c:v>Attended an arts event</c:v>
                </c:pt>
                <c:pt idx="3">
                  <c:v>Used the public library service</c:v>
                </c:pt>
                <c:pt idx="4">
                  <c:v>Visited a museum or science centre</c:v>
                </c:pt>
                <c:pt idx="5">
                  <c:v>Visited PRONI</c:v>
                </c:pt>
              </c:strCache>
            </c:strRef>
          </c:cat>
          <c:val>
            <c:numRef>
              <c:f>Sheet1!$L$4:$L$9</c:f>
              <c:numCache>
                <c:formatCode>0%</c:formatCode>
                <c:ptCount val="6"/>
                <c:pt idx="0">
                  <c:v>0.83</c:v>
                </c:pt>
                <c:pt idx="1">
                  <c:v>0.3</c:v>
                </c:pt>
                <c:pt idx="2">
                  <c:v>0.76</c:v>
                </c:pt>
                <c:pt idx="3">
                  <c:v>0.23</c:v>
                </c:pt>
                <c:pt idx="4">
                  <c:v>0.39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45-4A0D-AF93-DC466C5D0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30675791"/>
        <c:axId val="30676271"/>
      </c:barChart>
      <c:catAx>
        <c:axId val="30675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76271"/>
        <c:crosses val="autoZero"/>
        <c:auto val="1"/>
        <c:lblAlgn val="ctr"/>
        <c:lblOffset val="100"/>
        <c:noMultiLvlLbl val="0"/>
      </c:catAx>
      <c:valAx>
        <c:axId val="30676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757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820578312464378E-2"/>
          <c:y val="4.3794160548702901E-2"/>
          <c:w val="0.9103660340976345"/>
          <c:h val="0.618705529882696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'21-23'!$B$17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'21-23'!$C$15:$H$16</c:f>
              <c:multiLvlStrCache>
                <c:ptCount val="6"/>
                <c:lvl>
                  <c:pt idx="0">
                    <c:v>ABC</c:v>
                  </c:pt>
                  <c:pt idx="1">
                    <c:v>NI</c:v>
                  </c:pt>
                  <c:pt idx="2">
                    <c:v>ABC</c:v>
                  </c:pt>
                  <c:pt idx="3">
                    <c:v>NI</c:v>
                  </c:pt>
                  <c:pt idx="4">
                    <c:v>ABC</c:v>
                  </c:pt>
                  <c:pt idx="5">
                    <c:v>NI</c:v>
                  </c:pt>
                </c:lvl>
                <c:lvl>
                  <c:pt idx="0">
                    <c:v>Catholic Community</c:v>
                  </c:pt>
                  <c:pt idx="2">
                    <c:v>Protestant Community </c:v>
                  </c:pt>
                  <c:pt idx="4">
                    <c:v>Minority ethnic groups </c:v>
                  </c:pt>
                </c:lvl>
              </c:multiLvlStrCache>
            </c:multiLvlStrRef>
          </c:cat>
          <c:val>
            <c:numRef>
              <c:f>'21-23'!$C$17:$H$17</c:f>
              <c:numCache>
                <c:formatCode>0.0%</c:formatCode>
                <c:ptCount val="6"/>
                <c:pt idx="0">
                  <c:v>0.64100000000000001</c:v>
                </c:pt>
                <c:pt idx="1">
                  <c:v>0.70100000000000007</c:v>
                </c:pt>
                <c:pt idx="2">
                  <c:v>0.63</c:v>
                </c:pt>
                <c:pt idx="3">
                  <c:v>0.64</c:v>
                </c:pt>
                <c:pt idx="4">
                  <c:v>0.59800000000000009</c:v>
                </c:pt>
                <c:pt idx="5">
                  <c:v>0.65900000000000003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10-4C37-A4CA-657EE02D3349}"/>
            </c:ext>
          </c:extLst>
        </c:ser>
        <c:ser>
          <c:idx val="1"/>
          <c:order val="1"/>
          <c:tx>
            <c:strRef>
              <c:f>'21-23'!$B$18</c:f>
              <c:strCache>
                <c:ptCount val="1"/>
                <c:pt idx="0">
                  <c:v>Neither agree nor disagree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'21-23'!$C$15:$H$16</c:f>
              <c:multiLvlStrCache>
                <c:ptCount val="6"/>
                <c:lvl>
                  <c:pt idx="0">
                    <c:v>ABC</c:v>
                  </c:pt>
                  <c:pt idx="1">
                    <c:v>NI</c:v>
                  </c:pt>
                  <c:pt idx="2">
                    <c:v>ABC</c:v>
                  </c:pt>
                  <c:pt idx="3">
                    <c:v>NI</c:v>
                  </c:pt>
                  <c:pt idx="4">
                    <c:v>ABC</c:v>
                  </c:pt>
                  <c:pt idx="5">
                    <c:v>NI</c:v>
                  </c:pt>
                </c:lvl>
                <c:lvl>
                  <c:pt idx="0">
                    <c:v>Catholic Community</c:v>
                  </c:pt>
                  <c:pt idx="2">
                    <c:v>Protestant Community </c:v>
                  </c:pt>
                  <c:pt idx="4">
                    <c:v>Minority ethnic groups </c:v>
                  </c:pt>
                </c:lvl>
              </c:multiLvlStrCache>
            </c:multiLvlStrRef>
          </c:cat>
          <c:val>
            <c:numRef>
              <c:f>'21-23'!$C$18:$H$18</c:f>
              <c:numCache>
                <c:formatCode>0.0%</c:formatCode>
                <c:ptCount val="6"/>
                <c:pt idx="0">
                  <c:v>0.252</c:v>
                </c:pt>
                <c:pt idx="1">
                  <c:v>0.20799999999999999</c:v>
                </c:pt>
                <c:pt idx="2">
                  <c:v>0.23499999999999999</c:v>
                </c:pt>
                <c:pt idx="3">
                  <c:v>0.216</c:v>
                </c:pt>
                <c:pt idx="4">
                  <c:v>0.28499999999999998</c:v>
                </c:pt>
                <c:pt idx="5">
                  <c:v>0.246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10-4C37-A4CA-657EE02D3349}"/>
            </c:ext>
          </c:extLst>
        </c:ser>
        <c:ser>
          <c:idx val="2"/>
          <c:order val="2"/>
          <c:tx>
            <c:strRef>
              <c:f>'21-23'!$B$19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'21-23'!$C$15:$H$16</c:f>
              <c:multiLvlStrCache>
                <c:ptCount val="6"/>
                <c:lvl>
                  <c:pt idx="0">
                    <c:v>ABC</c:v>
                  </c:pt>
                  <c:pt idx="1">
                    <c:v>NI</c:v>
                  </c:pt>
                  <c:pt idx="2">
                    <c:v>ABC</c:v>
                  </c:pt>
                  <c:pt idx="3">
                    <c:v>NI</c:v>
                  </c:pt>
                  <c:pt idx="4">
                    <c:v>ABC</c:v>
                  </c:pt>
                  <c:pt idx="5">
                    <c:v>NI</c:v>
                  </c:pt>
                </c:lvl>
                <c:lvl>
                  <c:pt idx="0">
                    <c:v>Catholic Community</c:v>
                  </c:pt>
                  <c:pt idx="2">
                    <c:v>Protestant Community </c:v>
                  </c:pt>
                  <c:pt idx="4">
                    <c:v>Minority ethnic groups </c:v>
                  </c:pt>
                </c:lvl>
              </c:multiLvlStrCache>
            </c:multiLvlStrRef>
          </c:cat>
          <c:val>
            <c:numRef>
              <c:f>'21-23'!$C$19:$H$19</c:f>
              <c:numCache>
                <c:formatCode>0.0%</c:formatCode>
                <c:ptCount val="6"/>
                <c:pt idx="0">
                  <c:v>7.6999999999999999E-2</c:v>
                </c:pt>
                <c:pt idx="1">
                  <c:v>6.6000000000000003E-2</c:v>
                </c:pt>
                <c:pt idx="2">
                  <c:v>0.107</c:v>
                </c:pt>
                <c:pt idx="3">
                  <c:v>0.12</c:v>
                </c:pt>
                <c:pt idx="4">
                  <c:v>0.08</c:v>
                </c:pt>
                <c:pt idx="5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10-4C37-A4CA-657EE02D3349}"/>
            </c:ext>
          </c:extLst>
        </c:ser>
        <c:ser>
          <c:idx val="3"/>
          <c:order val="3"/>
          <c:tx>
            <c:strRef>
              <c:f>'21-23'!$B$20</c:f>
              <c:strCache>
                <c:ptCount val="1"/>
                <c:pt idx="0">
                  <c:v>Don’t know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'21-23'!$C$15:$H$16</c:f>
              <c:multiLvlStrCache>
                <c:ptCount val="6"/>
                <c:lvl>
                  <c:pt idx="0">
                    <c:v>ABC</c:v>
                  </c:pt>
                  <c:pt idx="1">
                    <c:v>NI</c:v>
                  </c:pt>
                  <c:pt idx="2">
                    <c:v>ABC</c:v>
                  </c:pt>
                  <c:pt idx="3">
                    <c:v>NI</c:v>
                  </c:pt>
                  <c:pt idx="4">
                    <c:v>ABC</c:v>
                  </c:pt>
                  <c:pt idx="5">
                    <c:v>NI</c:v>
                  </c:pt>
                </c:lvl>
                <c:lvl>
                  <c:pt idx="0">
                    <c:v>Catholic Community</c:v>
                  </c:pt>
                  <c:pt idx="2">
                    <c:v>Protestant Community </c:v>
                  </c:pt>
                  <c:pt idx="4">
                    <c:v>Minority ethnic groups </c:v>
                  </c:pt>
                </c:lvl>
              </c:multiLvlStrCache>
            </c:multiLvlStrRef>
          </c:cat>
          <c:val>
            <c:numRef>
              <c:f>'21-23'!$C$20:$H$20</c:f>
              <c:numCache>
                <c:formatCode>0.0%</c:formatCode>
                <c:ptCount val="6"/>
                <c:pt idx="0">
                  <c:v>2.8000000000000001E-2</c:v>
                </c:pt>
                <c:pt idx="1">
                  <c:v>2.4E-2</c:v>
                </c:pt>
                <c:pt idx="2">
                  <c:v>2.5999999999999999E-2</c:v>
                </c:pt>
                <c:pt idx="3">
                  <c:v>2.4E-2</c:v>
                </c:pt>
                <c:pt idx="4">
                  <c:v>3.6999999999999998E-2</c:v>
                </c:pt>
                <c:pt idx="5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10-4C37-A4CA-657EE02D3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92769503"/>
        <c:axId val="92770943"/>
      </c:barChart>
      <c:catAx>
        <c:axId val="92769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70943"/>
        <c:crosses val="autoZero"/>
        <c:auto val="1"/>
        <c:lblAlgn val="ctr"/>
        <c:lblOffset val="100"/>
        <c:noMultiLvlLbl val="0"/>
      </c:catAx>
      <c:valAx>
        <c:axId val="92770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69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243814314897189"/>
          <c:y val="4.8969520580904251E-2"/>
          <c:w val="0.60582996729878125"/>
          <c:h val="6.7184693799819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0.09953</cdr:x>
      <cdr:y>0.84294</cdr:y>
    </cdr:from>
    <cdr:to>
      <cdr:x>0.95681</cdr:x>
      <cdr:y>0.98328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7074F720-2600-B95A-685D-95816954CD3B}"/>
            </a:ext>
          </a:extLst>
        </cdr:cNvPr>
        <cdr:cNvSpPr txBox="1"/>
      </cdr:nvSpPr>
      <cdr:spPr>
        <a:xfrm xmlns:a="http://schemas.openxmlformats.org/drawingml/2006/main">
          <a:off x="583883" y="2688908"/>
          <a:ext cx="502920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GB" sz="1100" i="1" kern="1200">
              <a:solidFill>
                <a:schemeClr val="tx1">
                  <a:lumMod val="50000"/>
                  <a:lumOff val="50000"/>
                </a:schemeClr>
              </a:solidFill>
            </a:rPr>
            <a:t>The term agree is a</a:t>
          </a:r>
          <a:r>
            <a:rPr lang="en-GB" sz="1100" i="1" kern="1200" baseline="0">
              <a:solidFill>
                <a:schemeClr val="tx1">
                  <a:lumMod val="50000"/>
                  <a:lumOff val="50000"/>
                </a:schemeClr>
              </a:solidFill>
            </a:rPr>
            <a:t> combination of both 'strongly agree' and 'agree'</a:t>
          </a:r>
        </a:p>
        <a:p xmlns:a="http://schemas.openxmlformats.org/drawingml/2006/main">
          <a:pPr algn="ctr"/>
          <a:r>
            <a:rPr lang="en-GB" sz="1100" i="1" kern="1200" baseline="0">
              <a:solidFill>
                <a:schemeClr val="tx1">
                  <a:lumMod val="50000"/>
                  <a:lumOff val="50000"/>
                </a:schemeClr>
              </a:solidFill>
            </a:rPr>
            <a:t>The term disagree is a combination of both 'strongly disagree' and 'disagree'</a:t>
          </a:r>
          <a:endParaRPr lang="en-GB" sz="1100" i="1" kern="1200">
            <a:solidFill>
              <a:schemeClr val="tx1">
                <a:lumMod val="50000"/>
                <a:lumOff val="50000"/>
              </a:scheme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145F-6C90-4FD7-9A74-D4EB04AC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4</cp:revision>
  <dcterms:created xsi:type="dcterms:W3CDTF">2024-12-31T15:08:00Z</dcterms:created>
  <dcterms:modified xsi:type="dcterms:W3CDTF">2024-12-31T16:01:00Z</dcterms:modified>
</cp:coreProperties>
</file>