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FBA1E" w14:textId="77777777" w:rsidR="00565089" w:rsidRPr="00B31B2D" w:rsidRDefault="00AD0F2F">
      <w:pPr>
        <w:rPr>
          <w:b/>
        </w:rPr>
      </w:pPr>
      <w:r w:rsidRPr="00B31B2D">
        <w:rPr>
          <w:b/>
        </w:rPr>
        <w:t>Social Housing</w:t>
      </w:r>
      <w:r w:rsidR="002D5D2C" w:rsidRPr="00B31B2D">
        <w:rPr>
          <w:b/>
        </w:rPr>
        <w:t xml:space="preserve"> Statistics</w:t>
      </w:r>
    </w:p>
    <w:p w14:paraId="61B3EDBC" w14:textId="77777777" w:rsidR="0004577D" w:rsidRPr="00B31B2D" w:rsidRDefault="002D5D2C" w:rsidP="00AD0F2F">
      <w:r w:rsidRPr="00B31B2D">
        <w:t xml:space="preserve">The </w:t>
      </w:r>
      <w:r w:rsidR="00AD0F2F" w:rsidRPr="00B31B2D">
        <w:t xml:space="preserve">levels of social housing need are assessed and monitored by the Northern Ireland Housing Executive (NIHE). </w:t>
      </w:r>
      <w:r w:rsidR="004D77C6" w:rsidRPr="00B31B2D">
        <w:t xml:space="preserve">Social Housing is housing that is provided at an affordable rent by the Housing Executive and registered housing associations; that is, housing associations that are registered and regulated by the Department for Communities (DfC) as a social housing provider. </w:t>
      </w:r>
    </w:p>
    <w:p w14:paraId="5B7A45DD" w14:textId="3F373411" w:rsidR="00526B08" w:rsidRPr="00526B08" w:rsidRDefault="00AD0F2F" w:rsidP="00AD0F2F">
      <w:r w:rsidRPr="00B31B2D">
        <w:t>The five-year assessment</w:t>
      </w:r>
      <w:r w:rsidR="00DE4A83" w:rsidRPr="00B31B2D">
        <w:t xml:space="preserve"> for Armagh City, Banbridge and Craigavon Borough</w:t>
      </w:r>
      <w:r w:rsidR="00DB0F71" w:rsidRPr="00B31B2D">
        <w:t xml:space="preserve"> for </w:t>
      </w:r>
      <w:r w:rsidR="00512AE4">
        <w:t>202</w:t>
      </w:r>
      <w:r w:rsidR="00526B08">
        <w:t>3</w:t>
      </w:r>
      <w:r w:rsidR="00512AE4">
        <w:t>-2</w:t>
      </w:r>
      <w:r w:rsidR="00526B08">
        <w:t>8</w:t>
      </w:r>
      <w:r w:rsidRPr="00B31B2D">
        <w:t xml:space="preserve"> sh</w:t>
      </w:r>
      <w:r w:rsidR="00DB0F71" w:rsidRPr="00B31B2D">
        <w:t xml:space="preserve">ows a need for an additional </w:t>
      </w:r>
      <w:r w:rsidR="00512AE4">
        <w:t>1,</w:t>
      </w:r>
      <w:r w:rsidR="00526B08">
        <w:t>498</w:t>
      </w:r>
      <w:r w:rsidRPr="00B31B2D">
        <w:t xml:space="preserve"> units over this period.</w:t>
      </w:r>
      <w:r w:rsidR="00B31B2D">
        <w:t xml:space="preserve">  </w:t>
      </w:r>
      <w:r w:rsidR="00270C0F" w:rsidRPr="009976CE">
        <w:rPr>
          <w:i/>
          <w:color w:val="FF0000"/>
          <w:sz w:val="20"/>
          <w:szCs w:val="20"/>
        </w:rPr>
        <w:t xml:space="preserve">     </w:t>
      </w:r>
    </w:p>
    <w:p w14:paraId="6F68EFE4" w14:textId="33B45208" w:rsidR="00D84BD2" w:rsidRPr="00B31B2D" w:rsidRDefault="00526B08" w:rsidP="00AD0F2F">
      <w:pPr>
        <w:rPr>
          <w:color w:val="FF0000"/>
        </w:rPr>
      </w:pPr>
      <w:r>
        <w:rPr>
          <w:noProof/>
        </w:rPr>
        <w:drawing>
          <wp:inline distT="0" distB="0" distL="0" distR="0" wp14:anchorId="6C142DE4" wp14:editId="1731BAC7">
            <wp:extent cx="5667375" cy="3019425"/>
            <wp:effectExtent l="0" t="0" r="9525" b="9525"/>
            <wp:docPr id="1564990398" name="Chart 1">
              <a:extLst xmlns:a="http://schemas.openxmlformats.org/drawingml/2006/main">
                <a:ext uri="{FF2B5EF4-FFF2-40B4-BE49-F238E27FC236}">
                  <a16:creationId xmlns:a16="http://schemas.microsoft.com/office/drawing/2014/main" id="{FEB19518-D479-DBC4-72C7-BF62BFE7CB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E4A83" w:rsidRPr="00CE27E0">
        <w:rPr>
          <w:i/>
          <w:sz w:val="20"/>
          <w:szCs w:val="20"/>
        </w:rPr>
        <w:t xml:space="preserve">Figure 1: </w:t>
      </w:r>
      <w:r w:rsidR="00AD0F2F" w:rsidRPr="00CE27E0">
        <w:rPr>
          <w:i/>
          <w:sz w:val="20"/>
          <w:szCs w:val="20"/>
        </w:rPr>
        <w:t xml:space="preserve">Social </w:t>
      </w:r>
      <w:r w:rsidR="00DE4A83" w:rsidRPr="00CE27E0">
        <w:rPr>
          <w:i/>
          <w:sz w:val="20"/>
          <w:szCs w:val="20"/>
        </w:rPr>
        <w:t>housing n</w:t>
      </w:r>
      <w:r w:rsidR="00AD0F2F" w:rsidRPr="00CE27E0">
        <w:rPr>
          <w:i/>
          <w:sz w:val="20"/>
          <w:szCs w:val="20"/>
        </w:rPr>
        <w:t>eed</w:t>
      </w:r>
      <w:r w:rsidR="00DE4A83" w:rsidRPr="00CE27E0">
        <w:rPr>
          <w:i/>
          <w:sz w:val="20"/>
          <w:szCs w:val="20"/>
        </w:rPr>
        <w:t xml:space="preserve"> in</w:t>
      </w:r>
      <w:r w:rsidR="00AD0F2F" w:rsidRPr="00CE27E0">
        <w:rPr>
          <w:i/>
          <w:sz w:val="20"/>
          <w:szCs w:val="20"/>
        </w:rPr>
        <w:t xml:space="preserve"> Armagh City, Banbridge and </w:t>
      </w:r>
      <w:r w:rsidR="00270C0F" w:rsidRPr="00CE27E0">
        <w:rPr>
          <w:i/>
          <w:sz w:val="20"/>
          <w:szCs w:val="20"/>
        </w:rPr>
        <w:t xml:space="preserve">Craigavon Borough 2014-19 to </w:t>
      </w:r>
      <w:r w:rsidR="00CE27E0" w:rsidRPr="009762FF">
        <w:rPr>
          <w:i/>
          <w:sz w:val="20"/>
          <w:szCs w:val="20"/>
        </w:rPr>
        <w:t>202</w:t>
      </w:r>
      <w:r>
        <w:rPr>
          <w:i/>
          <w:sz w:val="20"/>
          <w:szCs w:val="20"/>
        </w:rPr>
        <w:t>3</w:t>
      </w:r>
      <w:r w:rsidR="00CE27E0" w:rsidRPr="009762FF">
        <w:rPr>
          <w:i/>
          <w:sz w:val="20"/>
          <w:szCs w:val="20"/>
        </w:rPr>
        <w:t>-2</w:t>
      </w:r>
      <w:r>
        <w:rPr>
          <w:i/>
          <w:sz w:val="20"/>
          <w:szCs w:val="20"/>
        </w:rPr>
        <w:t>8</w:t>
      </w:r>
      <w:r w:rsidR="00AD0F2F" w:rsidRPr="00CE27E0">
        <w:rPr>
          <w:i/>
          <w:sz w:val="20"/>
          <w:szCs w:val="20"/>
        </w:rPr>
        <w:t xml:space="preserve">. </w:t>
      </w:r>
      <w:r w:rsidR="00DE4A83" w:rsidRPr="00CE27E0">
        <w:rPr>
          <w:i/>
          <w:sz w:val="20"/>
          <w:szCs w:val="20"/>
        </w:rPr>
        <w:t>Source: Northern Ireland Housing Executive</w:t>
      </w:r>
      <w:r w:rsidR="00AD0F2F" w:rsidRPr="00CE27E0">
        <w:rPr>
          <w:i/>
          <w:sz w:val="20"/>
          <w:szCs w:val="20"/>
        </w:rPr>
        <w:t>.</w:t>
      </w:r>
    </w:p>
    <w:p w14:paraId="27C80167" w14:textId="20CF093A" w:rsidR="002415D0" w:rsidRPr="00CE27E0" w:rsidRDefault="002415D0" w:rsidP="002415D0">
      <w:r w:rsidRPr="00CE27E0">
        <w:t xml:space="preserve">With an additional </w:t>
      </w:r>
      <w:r w:rsidR="00512AE4">
        <w:t>1,</w:t>
      </w:r>
      <w:r w:rsidR="00526B08">
        <w:t>498</w:t>
      </w:r>
      <w:r w:rsidRPr="00CE27E0">
        <w:t xml:space="preserve"> units required in the Armagh City, Banbridge and Craigavon Borough between 202</w:t>
      </w:r>
      <w:r w:rsidR="00526B08">
        <w:t>3</w:t>
      </w:r>
      <w:r w:rsidRPr="00CE27E0">
        <w:t>-2</w:t>
      </w:r>
      <w:r w:rsidR="00526B08">
        <w:t>8</w:t>
      </w:r>
      <w:r w:rsidRPr="00CE27E0">
        <w:t xml:space="preserve">, figure 2 shows this need by settlement area within the borough.  North Lurgan and </w:t>
      </w:r>
      <w:r w:rsidR="00526B08">
        <w:t>Portadown 2</w:t>
      </w:r>
      <w:r w:rsidRPr="00CE27E0">
        <w:t xml:space="preserve"> exhibit the highest levels of social housing need in the borough with </w:t>
      </w:r>
      <w:r w:rsidR="00526B08">
        <w:t>316</w:t>
      </w:r>
      <w:r w:rsidR="00512AE4">
        <w:t xml:space="preserve"> and </w:t>
      </w:r>
      <w:r w:rsidR="00526B08">
        <w:t>229</w:t>
      </w:r>
      <w:r w:rsidRPr="00CE27E0">
        <w:t xml:space="preserve"> units required respectively.  </w:t>
      </w:r>
      <w:r w:rsidR="007E2D4B">
        <w:t>Those settlements with a need less than 10 have been grouped together and have a total need of 66.</w:t>
      </w:r>
    </w:p>
    <w:p w14:paraId="3EEAA4C2" w14:textId="77777777" w:rsidR="00512AE4" w:rsidRDefault="00512AE4" w:rsidP="002415D0">
      <w:pPr>
        <w:rPr>
          <w:i/>
          <w:sz w:val="20"/>
          <w:szCs w:val="20"/>
        </w:rPr>
      </w:pPr>
    </w:p>
    <w:p w14:paraId="4ABF863C" w14:textId="78808BBF" w:rsidR="002415D0" w:rsidRPr="002415D0" w:rsidRDefault="00526B08" w:rsidP="002415D0">
      <w:pPr>
        <w:rPr>
          <w:color w:val="FF0000"/>
        </w:rPr>
      </w:pPr>
      <w:r>
        <w:rPr>
          <w:noProof/>
        </w:rPr>
        <w:lastRenderedPageBreak/>
        <w:drawing>
          <wp:inline distT="0" distB="0" distL="0" distR="0" wp14:anchorId="723E5B80" wp14:editId="28A4D813">
            <wp:extent cx="5581650" cy="4524375"/>
            <wp:effectExtent l="0" t="0" r="0" b="9525"/>
            <wp:docPr id="671041803" name="Chart 1">
              <a:extLst xmlns:a="http://schemas.openxmlformats.org/drawingml/2006/main">
                <a:ext uri="{FF2B5EF4-FFF2-40B4-BE49-F238E27FC236}">
                  <a16:creationId xmlns:a16="http://schemas.microsoft.com/office/drawing/2014/main" id="{804D4C46-9E2E-C4BC-DE2A-2134E43DE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415D0" w:rsidRPr="00CE27E0">
        <w:rPr>
          <w:i/>
          <w:sz w:val="20"/>
          <w:szCs w:val="20"/>
        </w:rPr>
        <w:t>Figure 2: Social housing need in Armagh City, Banbridge and Crai</w:t>
      </w:r>
      <w:r w:rsidR="00512AE4">
        <w:rPr>
          <w:i/>
          <w:sz w:val="20"/>
          <w:szCs w:val="20"/>
        </w:rPr>
        <w:t>gavon Borough by settlement 202</w:t>
      </w:r>
      <w:r>
        <w:rPr>
          <w:i/>
          <w:sz w:val="20"/>
          <w:szCs w:val="20"/>
        </w:rPr>
        <w:t>3</w:t>
      </w:r>
      <w:r w:rsidR="00512AE4">
        <w:rPr>
          <w:i/>
          <w:sz w:val="20"/>
          <w:szCs w:val="20"/>
        </w:rPr>
        <w:t>-2</w:t>
      </w:r>
      <w:r>
        <w:rPr>
          <w:i/>
          <w:sz w:val="20"/>
          <w:szCs w:val="20"/>
        </w:rPr>
        <w:t>8</w:t>
      </w:r>
      <w:r w:rsidR="002415D0" w:rsidRPr="00CE27E0">
        <w:rPr>
          <w:i/>
          <w:sz w:val="20"/>
          <w:szCs w:val="20"/>
        </w:rPr>
        <w:t>.   Source: Northern Ireland Housing Executive.</w:t>
      </w:r>
    </w:p>
    <w:p w14:paraId="308D8AE2" w14:textId="77777777" w:rsidR="002415D0" w:rsidRDefault="002415D0" w:rsidP="0004577D">
      <w:pPr>
        <w:rPr>
          <w:color w:val="FF0000"/>
        </w:rPr>
      </w:pPr>
    </w:p>
    <w:p w14:paraId="4115C6D6" w14:textId="77777777" w:rsidR="00AD0F2F" w:rsidRPr="00141523" w:rsidRDefault="00483CDF" w:rsidP="0004577D">
      <w:r w:rsidRPr="00141523">
        <w:t>The NIHE waiting list can be used to determine the pressure for social housing in an area. NIHE holds data on all housing applications and allocations (‘the waiting list’) made through the Common Selection Scheme in their Housing Management System.</w:t>
      </w:r>
    </w:p>
    <w:p w14:paraId="7B79C533" w14:textId="23D1925E" w:rsidR="00483CDF" w:rsidRPr="00B2348D" w:rsidRDefault="00DB0F71" w:rsidP="0004577D">
      <w:r w:rsidRPr="00B2348D">
        <w:t>As at March 20</w:t>
      </w:r>
      <w:r w:rsidR="00141523" w:rsidRPr="00B2348D">
        <w:t>2</w:t>
      </w:r>
      <w:r w:rsidR="0050553F">
        <w:t>4</w:t>
      </w:r>
      <w:r w:rsidRPr="00B2348D">
        <w:t xml:space="preserve">, there were </w:t>
      </w:r>
      <w:r w:rsidR="001243BA">
        <w:t>3,</w:t>
      </w:r>
      <w:r w:rsidR="0050553F">
        <w:t>916</w:t>
      </w:r>
      <w:r w:rsidR="00483CDF" w:rsidRPr="00B2348D">
        <w:t xml:space="preserve"> applicants on the waiting list in Armagh</w:t>
      </w:r>
      <w:r w:rsidR="00DE4A83" w:rsidRPr="00B2348D">
        <w:t xml:space="preserve"> City, Banbridge and Craigavon B</w:t>
      </w:r>
      <w:r w:rsidR="00483CDF" w:rsidRPr="00B2348D">
        <w:t>orough.</w:t>
      </w:r>
    </w:p>
    <w:p w14:paraId="098F1DFB" w14:textId="40439CD8" w:rsidR="00A115F6" w:rsidRPr="009976CE" w:rsidRDefault="00A115F6" w:rsidP="00A115F6">
      <w:pPr>
        <w:rPr>
          <w:color w:val="FF0000"/>
        </w:rPr>
      </w:pPr>
      <w:r w:rsidRPr="0031384D">
        <w:t>Of these applicants, 2,</w:t>
      </w:r>
      <w:r w:rsidR="0050553F">
        <w:t>470</w:t>
      </w:r>
      <w:r>
        <w:t xml:space="preserve"> </w:t>
      </w:r>
      <w:r w:rsidRPr="0031384D">
        <w:t xml:space="preserve">(or </w:t>
      </w:r>
      <w:r w:rsidR="0050553F">
        <w:t>63.1</w:t>
      </w:r>
      <w:r w:rsidRPr="0031384D">
        <w:t xml:space="preserve">%) were in housing stress (where they have 30 or more points under the Common Selection Scheme.) The number of applicants </w:t>
      </w:r>
      <w:r>
        <w:t>on the waiting list</w:t>
      </w:r>
      <w:r w:rsidR="00350DCD">
        <w:t xml:space="preserve"> </w:t>
      </w:r>
      <w:r w:rsidR="007E2D4B">
        <w:t xml:space="preserve">and the number in housing stress </w:t>
      </w:r>
      <w:r w:rsidR="00350DCD">
        <w:t xml:space="preserve">has </w:t>
      </w:r>
      <w:r w:rsidR="007E2D4B">
        <w:t xml:space="preserve">increased </w:t>
      </w:r>
      <w:r>
        <w:t>over the past year</w:t>
      </w:r>
      <w:r w:rsidR="007E2D4B">
        <w:t xml:space="preserve"> and the number of applicants in housing stress is currently the highest it has been of the years presented. </w:t>
      </w:r>
    </w:p>
    <w:p w14:paraId="527DE1C0" w14:textId="6962C877" w:rsidR="00A115F6" w:rsidRDefault="00A115F6" w:rsidP="00A115F6">
      <w:r>
        <w:t xml:space="preserve">A total of </w:t>
      </w:r>
      <w:r w:rsidR="0050553F">
        <w:t>481</w:t>
      </w:r>
      <w:r w:rsidRPr="0031384D">
        <w:t xml:space="preserve"> applicants were allocated social housing in the borough in the year ending March 202</w:t>
      </w:r>
      <w:r w:rsidR="0050553F">
        <w:t>4</w:t>
      </w:r>
      <w:r w:rsidRPr="0031384D">
        <w:t xml:space="preserve">, </w:t>
      </w:r>
      <w:r>
        <w:t>an increase on</w:t>
      </w:r>
      <w:r w:rsidRPr="0031384D">
        <w:t xml:space="preserve"> the previous year.</w:t>
      </w:r>
    </w:p>
    <w:p w14:paraId="424A6C19" w14:textId="46D11733" w:rsidR="0017587F" w:rsidRDefault="0050553F" w:rsidP="00483CDF">
      <w:pPr>
        <w:rPr>
          <w:i/>
          <w:sz w:val="20"/>
          <w:szCs w:val="20"/>
        </w:rPr>
      </w:pPr>
      <w:r>
        <w:rPr>
          <w:noProof/>
        </w:rPr>
        <w:lastRenderedPageBreak/>
        <w:drawing>
          <wp:inline distT="0" distB="0" distL="0" distR="0" wp14:anchorId="361260E4" wp14:editId="4C0C3302">
            <wp:extent cx="6048375" cy="3248660"/>
            <wp:effectExtent l="0" t="0" r="9525" b="8890"/>
            <wp:docPr id="786475574" name="Chart 1">
              <a:extLst xmlns:a="http://schemas.openxmlformats.org/drawingml/2006/main">
                <a:ext uri="{FF2B5EF4-FFF2-40B4-BE49-F238E27FC236}">
                  <a16:creationId xmlns:a16="http://schemas.microsoft.com/office/drawing/2014/main" id="{F30EBB12-ADE6-F60C-2499-ADDB3F43F4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02FCA" w:rsidRPr="00644C2A">
        <w:rPr>
          <w:i/>
          <w:sz w:val="20"/>
          <w:szCs w:val="20"/>
        </w:rPr>
        <w:t xml:space="preserve">Figure 3: </w:t>
      </w:r>
      <w:r w:rsidR="00F51B99" w:rsidRPr="00644C2A">
        <w:rPr>
          <w:i/>
          <w:sz w:val="20"/>
          <w:szCs w:val="20"/>
        </w:rPr>
        <w:t>Social housing w</w:t>
      </w:r>
      <w:r w:rsidR="00483CDF" w:rsidRPr="00644C2A">
        <w:rPr>
          <w:i/>
          <w:sz w:val="20"/>
          <w:szCs w:val="20"/>
        </w:rPr>
        <w:t xml:space="preserve">aiting </w:t>
      </w:r>
      <w:r w:rsidR="00F51B99" w:rsidRPr="00644C2A">
        <w:rPr>
          <w:i/>
          <w:sz w:val="20"/>
          <w:szCs w:val="20"/>
        </w:rPr>
        <w:t>l</w:t>
      </w:r>
      <w:r w:rsidR="00483CDF" w:rsidRPr="00644C2A">
        <w:rPr>
          <w:i/>
          <w:sz w:val="20"/>
          <w:szCs w:val="20"/>
        </w:rPr>
        <w:t>ist trends, Armagh City, Banbr</w:t>
      </w:r>
      <w:r w:rsidR="00644C2A" w:rsidRPr="00644C2A">
        <w:rPr>
          <w:i/>
          <w:sz w:val="20"/>
          <w:szCs w:val="20"/>
        </w:rPr>
        <w:t>idge and Craigavon Borough 2014</w:t>
      </w:r>
      <w:r w:rsidR="00D84BD2" w:rsidRPr="00644C2A">
        <w:rPr>
          <w:i/>
          <w:sz w:val="20"/>
          <w:szCs w:val="20"/>
        </w:rPr>
        <w:t xml:space="preserve"> to 20</w:t>
      </w:r>
      <w:r w:rsidR="00644C2A" w:rsidRPr="00644C2A">
        <w:rPr>
          <w:i/>
          <w:sz w:val="20"/>
          <w:szCs w:val="20"/>
        </w:rPr>
        <w:t>2</w:t>
      </w:r>
      <w:r>
        <w:rPr>
          <w:i/>
          <w:sz w:val="20"/>
          <w:szCs w:val="20"/>
        </w:rPr>
        <w:t>4</w:t>
      </w:r>
      <w:r w:rsidR="00483CDF" w:rsidRPr="00644C2A">
        <w:rPr>
          <w:i/>
          <w:sz w:val="20"/>
          <w:szCs w:val="20"/>
        </w:rPr>
        <w:t xml:space="preserve">. Source: </w:t>
      </w:r>
      <w:r w:rsidR="00002FCA" w:rsidRPr="00644C2A">
        <w:rPr>
          <w:i/>
          <w:sz w:val="20"/>
          <w:szCs w:val="20"/>
        </w:rPr>
        <w:t>Northern Ireland Housing Executive.</w:t>
      </w:r>
    </w:p>
    <w:p w14:paraId="3E81ABB8" w14:textId="77777777" w:rsidR="00E833DA" w:rsidRDefault="00E833DA" w:rsidP="00E833DA">
      <w:pPr>
        <w:rPr>
          <w:iCs/>
        </w:rPr>
      </w:pPr>
    </w:p>
    <w:p w14:paraId="58ABA994" w14:textId="108630E8" w:rsidR="00E833DA" w:rsidRPr="00F1580A" w:rsidRDefault="00E833DA" w:rsidP="00E833DA">
      <w:r w:rsidRPr="00E833DA">
        <w:rPr>
          <w:iCs/>
        </w:rPr>
        <w:t>Table 1 presents a breakdown of the applicants and allocations by household type</w:t>
      </w:r>
      <w:r w:rsidR="00F1580A" w:rsidRPr="00F1580A">
        <w:t xml:space="preserve"> </w:t>
      </w:r>
      <w:r w:rsidR="00F1580A">
        <w:t>(de</w:t>
      </w:r>
      <w:r w:rsidR="00F1580A" w:rsidRPr="00873ECE">
        <w:t>finitions of each of the household types are provided on the following page</w:t>
      </w:r>
      <w:r w:rsidR="00F1580A">
        <w:t>)</w:t>
      </w:r>
      <w:r w:rsidR="00F1580A" w:rsidRPr="00873ECE">
        <w:t>.</w:t>
      </w:r>
      <w:r w:rsidR="00F1580A">
        <w:t xml:space="preserve">  </w:t>
      </w:r>
      <w:r>
        <w:rPr>
          <w:iCs/>
        </w:rPr>
        <w:t>Single persons account for more than 40% of all applicants with small famil</w:t>
      </w:r>
      <w:r w:rsidR="008E5638">
        <w:rPr>
          <w:iCs/>
        </w:rPr>
        <w:t>ies</w:t>
      </w:r>
      <w:r>
        <w:rPr>
          <w:iCs/>
        </w:rPr>
        <w:t xml:space="preserve"> (24%) and older persons (15%) the next biggest groupings.  </w:t>
      </w:r>
      <w:r w:rsidR="008E5638">
        <w:rPr>
          <w:iCs/>
        </w:rPr>
        <w:t xml:space="preserve">Of the 950 small family applicants, more than 65% were in housing stress.  Approximately 64% of the single person applicants were in housing stress while 59% of the older person households were in housing stress. </w:t>
      </w:r>
    </w:p>
    <w:p w14:paraId="2B07FBDD" w14:textId="69FA1874" w:rsidR="009663C3" w:rsidRPr="00E833DA" w:rsidRDefault="009663C3" w:rsidP="00E833DA">
      <w:pPr>
        <w:rPr>
          <w:iCs/>
        </w:rPr>
      </w:pPr>
      <w:r>
        <w:rPr>
          <w:iCs/>
        </w:rPr>
        <w:t xml:space="preserve">There </w:t>
      </w:r>
      <w:r w:rsidR="00F1580A">
        <w:rPr>
          <w:iCs/>
        </w:rPr>
        <w:t>was</w:t>
      </w:r>
      <w:r>
        <w:rPr>
          <w:iCs/>
        </w:rPr>
        <w:t xml:space="preserve"> a total of 481 allocations in the year up to March 2024 and one third of these </w:t>
      </w:r>
      <w:r w:rsidR="00F1580A">
        <w:rPr>
          <w:iCs/>
        </w:rPr>
        <w:t xml:space="preserve">(159) </w:t>
      </w:r>
      <w:r>
        <w:rPr>
          <w:iCs/>
        </w:rPr>
        <w:t xml:space="preserve">were houses allocated to small families.  </w:t>
      </w:r>
      <w:r w:rsidR="00F1580A">
        <w:rPr>
          <w:iCs/>
        </w:rPr>
        <w:t xml:space="preserve">Single persons were allocated 154 houses (32%) and older persons had the next biggest allocation at 84 or 17.5% of all allocations.  </w:t>
      </w:r>
    </w:p>
    <w:p w14:paraId="4C956DCE" w14:textId="77777777" w:rsidR="00E833DA" w:rsidRDefault="00E833DA" w:rsidP="00E833DA">
      <w:pPr>
        <w:rPr>
          <w:i/>
          <w:sz w:val="20"/>
          <w:szCs w:val="20"/>
        </w:rPr>
      </w:pPr>
    </w:p>
    <w:tbl>
      <w:tblPr>
        <w:tblStyle w:val="GridTable1Light"/>
        <w:tblW w:w="10238" w:type="dxa"/>
        <w:tblInd w:w="-615" w:type="dxa"/>
        <w:tblLayout w:type="fixed"/>
        <w:tblLook w:val="04A0" w:firstRow="1" w:lastRow="0" w:firstColumn="1" w:lastColumn="0" w:noHBand="0" w:noVBand="1"/>
      </w:tblPr>
      <w:tblGrid>
        <w:gridCol w:w="3397"/>
        <w:gridCol w:w="977"/>
        <w:gridCol w:w="977"/>
        <w:gridCol w:w="977"/>
        <w:gridCol w:w="978"/>
        <w:gridCol w:w="977"/>
        <w:gridCol w:w="977"/>
        <w:gridCol w:w="978"/>
      </w:tblGrid>
      <w:tr w:rsidR="00E833DA" w:rsidRPr="0050553F" w14:paraId="2B362BF8" w14:textId="77777777" w:rsidTr="00CC1EA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BA245EA" w14:textId="77777777" w:rsidR="00E833DA" w:rsidRPr="0050553F" w:rsidRDefault="00E833DA" w:rsidP="00CC1EA7">
            <w:pPr>
              <w:rPr>
                <w:rFonts w:ascii="Calibri" w:eastAsia="Times New Roman" w:hAnsi="Calibri" w:cs="Calibri"/>
                <w:color w:val="000000"/>
                <w:lang w:eastAsia="en-GB"/>
              </w:rPr>
            </w:pPr>
            <w:r w:rsidRPr="0050553F">
              <w:rPr>
                <w:rFonts w:ascii="Calibri" w:eastAsia="Times New Roman" w:hAnsi="Calibri" w:cs="Calibri"/>
                <w:color w:val="000000"/>
                <w:lang w:eastAsia="en-GB"/>
              </w:rPr>
              <w:t>Type</w:t>
            </w:r>
          </w:p>
        </w:tc>
        <w:tc>
          <w:tcPr>
            <w:tcW w:w="977" w:type="dxa"/>
            <w:hideMark/>
          </w:tcPr>
          <w:p w14:paraId="3B60DFD3" w14:textId="77777777" w:rsidR="00E833DA" w:rsidRPr="0050553F" w:rsidRDefault="00E833DA" w:rsidP="00CC1E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Single Person</w:t>
            </w:r>
          </w:p>
        </w:tc>
        <w:tc>
          <w:tcPr>
            <w:tcW w:w="977" w:type="dxa"/>
            <w:hideMark/>
          </w:tcPr>
          <w:p w14:paraId="0E7775E0" w14:textId="77777777" w:rsidR="00E833DA" w:rsidRPr="0050553F" w:rsidRDefault="00E833DA" w:rsidP="00CC1E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Small Adult</w:t>
            </w:r>
          </w:p>
        </w:tc>
        <w:tc>
          <w:tcPr>
            <w:tcW w:w="977" w:type="dxa"/>
            <w:hideMark/>
          </w:tcPr>
          <w:p w14:paraId="17F1CC26" w14:textId="77777777" w:rsidR="00E833DA" w:rsidRPr="0050553F" w:rsidRDefault="00E833DA" w:rsidP="00CC1E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Small Family</w:t>
            </w:r>
          </w:p>
        </w:tc>
        <w:tc>
          <w:tcPr>
            <w:tcW w:w="978" w:type="dxa"/>
            <w:hideMark/>
          </w:tcPr>
          <w:p w14:paraId="32318301" w14:textId="77777777" w:rsidR="00E833DA" w:rsidRPr="0050553F" w:rsidRDefault="00E833DA" w:rsidP="00CC1E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Large Adult</w:t>
            </w:r>
          </w:p>
        </w:tc>
        <w:tc>
          <w:tcPr>
            <w:tcW w:w="977" w:type="dxa"/>
            <w:hideMark/>
          </w:tcPr>
          <w:p w14:paraId="307B95DB" w14:textId="77777777" w:rsidR="00E833DA" w:rsidRPr="0050553F" w:rsidRDefault="00E833DA" w:rsidP="00CC1E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Large Family</w:t>
            </w:r>
          </w:p>
        </w:tc>
        <w:tc>
          <w:tcPr>
            <w:tcW w:w="977" w:type="dxa"/>
            <w:hideMark/>
          </w:tcPr>
          <w:p w14:paraId="1030B9E5" w14:textId="77777777" w:rsidR="00E833DA" w:rsidRPr="0050553F" w:rsidRDefault="00E833DA" w:rsidP="00CC1E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Older Person</w:t>
            </w:r>
          </w:p>
        </w:tc>
        <w:tc>
          <w:tcPr>
            <w:tcW w:w="978" w:type="dxa"/>
            <w:hideMark/>
          </w:tcPr>
          <w:p w14:paraId="385836AC" w14:textId="77777777" w:rsidR="00E833DA" w:rsidRPr="0050553F" w:rsidRDefault="00E833DA" w:rsidP="00CC1E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Total</w:t>
            </w:r>
          </w:p>
        </w:tc>
      </w:tr>
      <w:tr w:rsidR="00E833DA" w:rsidRPr="0050553F" w14:paraId="12125ABB" w14:textId="77777777" w:rsidTr="00CC1EA7">
        <w:trPr>
          <w:trHeight w:val="295"/>
        </w:trPr>
        <w:tc>
          <w:tcPr>
            <w:cnfStyle w:val="001000000000" w:firstRow="0" w:lastRow="0" w:firstColumn="1" w:lastColumn="0" w:oddVBand="0" w:evenVBand="0" w:oddHBand="0" w:evenHBand="0" w:firstRowFirstColumn="0" w:firstRowLastColumn="0" w:lastRowFirstColumn="0" w:lastRowLastColumn="0"/>
            <w:tcW w:w="3397" w:type="dxa"/>
            <w:noWrap/>
            <w:hideMark/>
          </w:tcPr>
          <w:p w14:paraId="58418782" w14:textId="77777777" w:rsidR="00E833DA" w:rsidRPr="0050553F" w:rsidRDefault="00E833DA" w:rsidP="00CC1EA7">
            <w:pPr>
              <w:rPr>
                <w:rFonts w:ascii="Calibri" w:eastAsia="Times New Roman" w:hAnsi="Calibri" w:cs="Calibri"/>
                <w:color w:val="000000"/>
                <w:lang w:eastAsia="en-GB"/>
              </w:rPr>
            </w:pPr>
            <w:r w:rsidRPr="0050553F">
              <w:rPr>
                <w:rFonts w:ascii="Calibri" w:eastAsia="Times New Roman" w:hAnsi="Calibri" w:cs="Calibri"/>
                <w:color w:val="000000"/>
                <w:lang w:eastAsia="en-GB"/>
              </w:rPr>
              <w:t>Applicant</w:t>
            </w:r>
          </w:p>
        </w:tc>
        <w:tc>
          <w:tcPr>
            <w:tcW w:w="977" w:type="dxa"/>
            <w:noWrap/>
            <w:hideMark/>
          </w:tcPr>
          <w:p w14:paraId="64F86BD4"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1,622</w:t>
            </w:r>
          </w:p>
        </w:tc>
        <w:tc>
          <w:tcPr>
            <w:tcW w:w="977" w:type="dxa"/>
            <w:noWrap/>
            <w:hideMark/>
          </w:tcPr>
          <w:p w14:paraId="294D898C"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229</w:t>
            </w:r>
          </w:p>
        </w:tc>
        <w:tc>
          <w:tcPr>
            <w:tcW w:w="977" w:type="dxa"/>
            <w:noWrap/>
            <w:hideMark/>
          </w:tcPr>
          <w:p w14:paraId="1EA2780F"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950</w:t>
            </w:r>
          </w:p>
        </w:tc>
        <w:tc>
          <w:tcPr>
            <w:tcW w:w="978" w:type="dxa"/>
            <w:noWrap/>
            <w:hideMark/>
          </w:tcPr>
          <w:p w14:paraId="59E493C4"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154</w:t>
            </w:r>
          </w:p>
        </w:tc>
        <w:tc>
          <w:tcPr>
            <w:tcW w:w="977" w:type="dxa"/>
            <w:noWrap/>
            <w:hideMark/>
          </w:tcPr>
          <w:p w14:paraId="3105A883"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361</w:t>
            </w:r>
          </w:p>
        </w:tc>
        <w:tc>
          <w:tcPr>
            <w:tcW w:w="977" w:type="dxa"/>
            <w:noWrap/>
            <w:hideMark/>
          </w:tcPr>
          <w:p w14:paraId="411E690E"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600</w:t>
            </w:r>
          </w:p>
        </w:tc>
        <w:tc>
          <w:tcPr>
            <w:tcW w:w="978" w:type="dxa"/>
            <w:noWrap/>
            <w:hideMark/>
          </w:tcPr>
          <w:p w14:paraId="46B11228"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0553F">
              <w:rPr>
                <w:rFonts w:ascii="Calibri" w:eastAsia="Times New Roman" w:hAnsi="Calibri" w:cs="Calibri"/>
                <w:b/>
                <w:bCs/>
                <w:color w:val="000000"/>
                <w:lang w:eastAsia="en-GB"/>
              </w:rPr>
              <w:t>3,916</w:t>
            </w:r>
          </w:p>
        </w:tc>
      </w:tr>
      <w:tr w:rsidR="00E833DA" w:rsidRPr="0050553F" w14:paraId="4A424C92" w14:textId="77777777" w:rsidTr="00CC1EA7">
        <w:trPr>
          <w:trHeight w:val="295"/>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52F755F" w14:textId="77777777" w:rsidR="00E833DA" w:rsidRPr="0050553F" w:rsidRDefault="00E833DA" w:rsidP="00CC1EA7">
            <w:pPr>
              <w:rPr>
                <w:rFonts w:ascii="Calibri" w:eastAsia="Times New Roman" w:hAnsi="Calibri" w:cs="Calibri"/>
                <w:color w:val="000000"/>
                <w:lang w:eastAsia="en-GB"/>
              </w:rPr>
            </w:pPr>
            <w:r w:rsidRPr="0050553F">
              <w:rPr>
                <w:rFonts w:ascii="Calibri" w:eastAsia="Times New Roman" w:hAnsi="Calibri" w:cs="Calibri"/>
                <w:color w:val="000000"/>
                <w:lang w:eastAsia="en-GB"/>
              </w:rPr>
              <w:t>Applicant in Housing Stress</w:t>
            </w:r>
          </w:p>
        </w:tc>
        <w:tc>
          <w:tcPr>
            <w:tcW w:w="977" w:type="dxa"/>
            <w:noWrap/>
            <w:hideMark/>
          </w:tcPr>
          <w:p w14:paraId="68B6BB9D"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1</w:t>
            </w:r>
            <w:r>
              <w:rPr>
                <w:rFonts w:ascii="Calibri" w:eastAsia="Times New Roman" w:hAnsi="Calibri" w:cs="Calibri"/>
                <w:color w:val="000000"/>
                <w:lang w:eastAsia="en-GB"/>
              </w:rPr>
              <w:t>,</w:t>
            </w:r>
            <w:r w:rsidRPr="0050553F">
              <w:rPr>
                <w:rFonts w:ascii="Calibri" w:eastAsia="Times New Roman" w:hAnsi="Calibri" w:cs="Calibri"/>
                <w:color w:val="000000"/>
                <w:lang w:eastAsia="en-GB"/>
              </w:rPr>
              <w:t>043</w:t>
            </w:r>
          </w:p>
        </w:tc>
        <w:tc>
          <w:tcPr>
            <w:tcW w:w="977" w:type="dxa"/>
            <w:noWrap/>
            <w:hideMark/>
          </w:tcPr>
          <w:p w14:paraId="45486AC6"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127</w:t>
            </w:r>
          </w:p>
        </w:tc>
        <w:tc>
          <w:tcPr>
            <w:tcW w:w="977" w:type="dxa"/>
            <w:noWrap/>
            <w:hideMark/>
          </w:tcPr>
          <w:p w14:paraId="0635079F"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619</w:t>
            </w:r>
          </w:p>
        </w:tc>
        <w:tc>
          <w:tcPr>
            <w:tcW w:w="978" w:type="dxa"/>
            <w:noWrap/>
            <w:hideMark/>
          </w:tcPr>
          <w:p w14:paraId="3B72227F"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99</w:t>
            </w:r>
          </w:p>
        </w:tc>
        <w:tc>
          <w:tcPr>
            <w:tcW w:w="977" w:type="dxa"/>
            <w:noWrap/>
            <w:hideMark/>
          </w:tcPr>
          <w:p w14:paraId="24A243C5"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228</w:t>
            </w:r>
          </w:p>
        </w:tc>
        <w:tc>
          <w:tcPr>
            <w:tcW w:w="977" w:type="dxa"/>
            <w:noWrap/>
            <w:hideMark/>
          </w:tcPr>
          <w:p w14:paraId="000EAA0C"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354</w:t>
            </w:r>
          </w:p>
        </w:tc>
        <w:tc>
          <w:tcPr>
            <w:tcW w:w="978" w:type="dxa"/>
            <w:noWrap/>
            <w:hideMark/>
          </w:tcPr>
          <w:p w14:paraId="4D9E3ACB"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0553F">
              <w:rPr>
                <w:rFonts w:ascii="Calibri" w:eastAsia="Times New Roman" w:hAnsi="Calibri" w:cs="Calibri"/>
                <w:b/>
                <w:bCs/>
                <w:color w:val="000000"/>
                <w:lang w:eastAsia="en-GB"/>
              </w:rPr>
              <w:t>2,470</w:t>
            </w:r>
          </w:p>
        </w:tc>
      </w:tr>
      <w:tr w:rsidR="00E833DA" w:rsidRPr="0050553F" w14:paraId="694B1E3C" w14:textId="77777777" w:rsidTr="00CC1EA7">
        <w:trPr>
          <w:trHeight w:val="295"/>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C8067CF" w14:textId="77777777" w:rsidR="00E833DA" w:rsidRPr="0050553F" w:rsidRDefault="00E833DA" w:rsidP="00CC1EA7">
            <w:pPr>
              <w:rPr>
                <w:rFonts w:ascii="Calibri" w:eastAsia="Times New Roman" w:hAnsi="Calibri" w:cs="Calibri"/>
                <w:color w:val="000000"/>
                <w:lang w:eastAsia="en-GB"/>
              </w:rPr>
            </w:pPr>
            <w:r w:rsidRPr="0050553F">
              <w:rPr>
                <w:rFonts w:ascii="Calibri" w:eastAsia="Times New Roman" w:hAnsi="Calibri" w:cs="Calibri"/>
                <w:color w:val="000000"/>
                <w:lang w:eastAsia="en-GB"/>
              </w:rPr>
              <w:t>% of Applicants in Housing Stress</w:t>
            </w:r>
          </w:p>
        </w:tc>
        <w:tc>
          <w:tcPr>
            <w:tcW w:w="977" w:type="dxa"/>
            <w:noWrap/>
            <w:hideMark/>
          </w:tcPr>
          <w:p w14:paraId="151B6A2F"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64.3%</w:t>
            </w:r>
          </w:p>
        </w:tc>
        <w:tc>
          <w:tcPr>
            <w:tcW w:w="977" w:type="dxa"/>
            <w:noWrap/>
            <w:hideMark/>
          </w:tcPr>
          <w:p w14:paraId="57C55BD3"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55.5%</w:t>
            </w:r>
          </w:p>
        </w:tc>
        <w:tc>
          <w:tcPr>
            <w:tcW w:w="977" w:type="dxa"/>
            <w:noWrap/>
            <w:hideMark/>
          </w:tcPr>
          <w:p w14:paraId="496083D2"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65.2%</w:t>
            </w:r>
          </w:p>
        </w:tc>
        <w:tc>
          <w:tcPr>
            <w:tcW w:w="978" w:type="dxa"/>
            <w:noWrap/>
            <w:hideMark/>
          </w:tcPr>
          <w:p w14:paraId="16ADE4C9"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64.3%</w:t>
            </w:r>
          </w:p>
        </w:tc>
        <w:tc>
          <w:tcPr>
            <w:tcW w:w="977" w:type="dxa"/>
            <w:noWrap/>
            <w:hideMark/>
          </w:tcPr>
          <w:p w14:paraId="282EB02A"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63.2%</w:t>
            </w:r>
          </w:p>
        </w:tc>
        <w:tc>
          <w:tcPr>
            <w:tcW w:w="977" w:type="dxa"/>
            <w:noWrap/>
            <w:hideMark/>
          </w:tcPr>
          <w:p w14:paraId="2228F721"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59.0%</w:t>
            </w:r>
          </w:p>
        </w:tc>
        <w:tc>
          <w:tcPr>
            <w:tcW w:w="978" w:type="dxa"/>
            <w:noWrap/>
            <w:hideMark/>
          </w:tcPr>
          <w:p w14:paraId="189D657D"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0553F">
              <w:rPr>
                <w:rFonts w:ascii="Calibri" w:eastAsia="Times New Roman" w:hAnsi="Calibri" w:cs="Calibri"/>
                <w:b/>
                <w:bCs/>
                <w:color w:val="000000"/>
                <w:lang w:eastAsia="en-GB"/>
              </w:rPr>
              <w:t>63.1%</w:t>
            </w:r>
          </w:p>
        </w:tc>
      </w:tr>
      <w:tr w:rsidR="00E833DA" w:rsidRPr="0050553F" w14:paraId="47C7A89D" w14:textId="77777777" w:rsidTr="00CC1EA7">
        <w:trPr>
          <w:trHeight w:val="295"/>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1D3DBFC" w14:textId="77777777" w:rsidR="00E833DA" w:rsidRPr="0050553F" w:rsidRDefault="00E833DA" w:rsidP="00CC1EA7">
            <w:pPr>
              <w:rPr>
                <w:rFonts w:ascii="Calibri" w:eastAsia="Times New Roman" w:hAnsi="Calibri" w:cs="Calibri"/>
                <w:color w:val="000000"/>
                <w:lang w:eastAsia="en-GB"/>
              </w:rPr>
            </w:pPr>
            <w:r w:rsidRPr="0050553F">
              <w:rPr>
                <w:rFonts w:ascii="Calibri" w:eastAsia="Times New Roman" w:hAnsi="Calibri" w:cs="Calibri"/>
                <w:color w:val="000000"/>
                <w:lang w:eastAsia="en-GB"/>
              </w:rPr>
              <w:t>Allocation</w:t>
            </w:r>
          </w:p>
        </w:tc>
        <w:tc>
          <w:tcPr>
            <w:tcW w:w="977" w:type="dxa"/>
            <w:noWrap/>
            <w:hideMark/>
          </w:tcPr>
          <w:p w14:paraId="37AB1383"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154</w:t>
            </w:r>
          </w:p>
        </w:tc>
        <w:tc>
          <w:tcPr>
            <w:tcW w:w="977" w:type="dxa"/>
            <w:noWrap/>
            <w:hideMark/>
          </w:tcPr>
          <w:p w14:paraId="39184E93"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16</w:t>
            </w:r>
          </w:p>
        </w:tc>
        <w:tc>
          <w:tcPr>
            <w:tcW w:w="977" w:type="dxa"/>
            <w:noWrap/>
            <w:hideMark/>
          </w:tcPr>
          <w:p w14:paraId="748B40E7"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159</w:t>
            </w:r>
          </w:p>
        </w:tc>
        <w:tc>
          <w:tcPr>
            <w:tcW w:w="978" w:type="dxa"/>
            <w:noWrap/>
            <w:hideMark/>
          </w:tcPr>
          <w:p w14:paraId="1D45E684"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20</w:t>
            </w:r>
          </w:p>
        </w:tc>
        <w:tc>
          <w:tcPr>
            <w:tcW w:w="977" w:type="dxa"/>
            <w:noWrap/>
            <w:hideMark/>
          </w:tcPr>
          <w:p w14:paraId="1DA90E87"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48</w:t>
            </w:r>
          </w:p>
        </w:tc>
        <w:tc>
          <w:tcPr>
            <w:tcW w:w="977" w:type="dxa"/>
            <w:noWrap/>
            <w:hideMark/>
          </w:tcPr>
          <w:p w14:paraId="799F09D6"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0553F">
              <w:rPr>
                <w:rFonts w:ascii="Calibri" w:eastAsia="Times New Roman" w:hAnsi="Calibri" w:cs="Calibri"/>
                <w:color w:val="000000"/>
                <w:lang w:eastAsia="en-GB"/>
              </w:rPr>
              <w:t>84</w:t>
            </w:r>
          </w:p>
        </w:tc>
        <w:tc>
          <w:tcPr>
            <w:tcW w:w="978" w:type="dxa"/>
            <w:noWrap/>
            <w:hideMark/>
          </w:tcPr>
          <w:p w14:paraId="65494ACE" w14:textId="77777777" w:rsidR="00E833DA" w:rsidRPr="0050553F" w:rsidRDefault="00E833DA" w:rsidP="00CC1E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0553F">
              <w:rPr>
                <w:rFonts w:ascii="Calibri" w:eastAsia="Times New Roman" w:hAnsi="Calibri" w:cs="Calibri"/>
                <w:b/>
                <w:bCs/>
                <w:color w:val="000000"/>
                <w:lang w:eastAsia="en-GB"/>
              </w:rPr>
              <w:t>481</w:t>
            </w:r>
          </w:p>
        </w:tc>
      </w:tr>
    </w:tbl>
    <w:p w14:paraId="519C5877" w14:textId="77777777" w:rsidR="00E833DA" w:rsidRPr="00873ECE" w:rsidRDefault="00E833DA" w:rsidP="00E833DA">
      <w:pPr>
        <w:rPr>
          <w:i/>
          <w:sz w:val="20"/>
          <w:szCs w:val="20"/>
        </w:rPr>
      </w:pPr>
      <w:r w:rsidRPr="00873ECE">
        <w:rPr>
          <w:i/>
          <w:sz w:val="20"/>
          <w:szCs w:val="20"/>
        </w:rPr>
        <w:t>Table 1: Waiting list at March 202</w:t>
      </w:r>
      <w:r>
        <w:rPr>
          <w:i/>
          <w:sz w:val="20"/>
          <w:szCs w:val="20"/>
        </w:rPr>
        <w:t>4</w:t>
      </w:r>
      <w:r w:rsidRPr="00873ECE">
        <w:rPr>
          <w:i/>
          <w:sz w:val="20"/>
          <w:szCs w:val="20"/>
        </w:rPr>
        <w:t xml:space="preserve"> in Armagh City, Banbridge and Craigavon Borough. Source: Northern Ireland Housing Executive.</w:t>
      </w:r>
    </w:p>
    <w:p w14:paraId="3C21E3C2" w14:textId="77777777" w:rsidR="00644C2A" w:rsidRPr="00644C2A" w:rsidRDefault="00644C2A" w:rsidP="00483CDF"/>
    <w:p w14:paraId="605DE260" w14:textId="7AEB2418" w:rsidR="0050553F" w:rsidRDefault="00483CDF" w:rsidP="0017587F">
      <w:pPr>
        <w:rPr>
          <w:i/>
          <w:sz w:val="20"/>
          <w:szCs w:val="20"/>
        </w:rPr>
      </w:pPr>
      <w:r w:rsidRPr="00F03935">
        <w:t>The household breakdown of th</w:t>
      </w:r>
      <w:r w:rsidR="00DB0F71" w:rsidRPr="00F03935">
        <w:t xml:space="preserve">e </w:t>
      </w:r>
      <w:r w:rsidR="00873ECE" w:rsidRPr="00F03935">
        <w:t>2,</w:t>
      </w:r>
      <w:r w:rsidR="0050553F">
        <w:t>470</w:t>
      </w:r>
      <w:r w:rsidRPr="00F03935">
        <w:t xml:space="preserve"> applicants in housing stress shows </w:t>
      </w:r>
      <w:r w:rsidR="0050553F">
        <w:t>1,043</w:t>
      </w:r>
      <w:r w:rsidR="0017587F" w:rsidRPr="00F03935">
        <w:t xml:space="preserve"> (</w:t>
      </w:r>
      <w:r w:rsidR="00A115F6">
        <w:t>4</w:t>
      </w:r>
      <w:r w:rsidR="0050553F">
        <w:t>2</w:t>
      </w:r>
      <w:r w:rsidR="0017587F" w:rsidRPr="00F03935">
        <w:t>%) we</w:t>
      </w:r>
      <w:r w:rsidR="00DB0F71" w:rsidRPr="00F03935">
        <w:t xml:space="preserve">re single person households, </w:t>
      </w:r>
      <w:r w:rsidR="001C79DA">
        <w:t>6</w:t>
      </w:r>
      <w:r w:rsidR="0050553F">
        <w:t>19</w:t>
      </w:r>
      <w:r w:rsidR="00F03935" w:rsidRPr="00F03935">
        <w:t xml:space="preserve"> (</w:t>
      </w:r>
      <w:r w:rsidR="00A115F6">
        <w:t>2</w:t>
      </w:r>
      <w:r w:rsidR="0050553F">
        <w:t>5</w:t>
      </w:r>
      <w:r w:rsidR="0017587F" w:rsidRPr="00F03935">
        <w:t>%) were</w:t>
      </w:r>
      <w:r w:rsidR="00DB0F71" w:rsidRPr="00F03935">
        <w:t xml:space="preserve"> sma</w:t>
      </w:r>
      <w:r w:rsidR="00F51B99" w:rsidRPr="00F03935">
        <w:t xml:space="preserve">ll family households and </w:t>
      </w:r>
      <w:r w:rsidR="00F03935" w:rsidRPr="00F03935">
        <w:t>3</w:t>
      </w:r>
      <w:r w:rsidR="0050553F">
        <w:t>54</w:t>
      </w:r>
      <w:r w:rsidR="00F51B99" w:rsidRPr="00F03935">
        <w:t xml:space="preserve"> (</w:t>
      </w:r>
      <w:r w:rsidR="001C79DA">
        <w:t>1</w:t>
      </w:r>
      <w:r w:rsidR="0050553F">
        <w:t>4</w:t>
      </w:r>
      <w:r w:rsidR="0017587F" w:rsidRPr="00F03935">
        <w:t>%) were older person households.</w:t>
      </w:r>
      <w:r w:rsidR="005D63F6" w:rsidRPr="00F03935">
        <w:rPr>
          <w:i/>
          <w:sz w:val="20"/>
          <w:szCs w:val="20"/>
        </w:rPr>
        <w:t xml:space="preserve"> </w:t>
      </w:r>
    </w:p>
    <w:p w14:paraId="499D2EF4" w14:textId="3CDABE9F" w:rsidR="00E833DA" w:rsidRPr="002105D7" w:rsidRDefault="00E833DA" w:rsidP="00E833DA">
      <w:pPr>
        <w:rPr>
          <w:i/>
          <w:sz w:val="20"/>
          <w:szCs w:val="20"/>
        </w:rPr>
      </w:pPr>
      <w:r>
        <w:rPr>
          <w:noProof/>
        </w:rPr>
        <w:lastRenderedPageBreak/>
        <mc:AlternateContent>
          <mc:Choice Requires="cx1">
            <w:drawing>
              <wp:inline distT="0" distB="0" distL="0" distR="0" wp14:anchorId="6F768C80" wp14:editId="6A61FBF7">
                <wp:extent cx="5731510" cy="2875151"/>
                <wp:effectExtent l="0" t="0" r="2540" b="1905"/>
                <wp:docPr id="1280006116" name="Chart 1">
                  <a:extLst xmlns:a="http://schemas.openxmlformats.org/drawingml/2006/main">
                    <a:ext uri="{FF2B5EF4-FFF2-40B4-BE49-F238E27FC236}">
                      <a16:creationId xmlns:a16="http://schemas.microsoft.com/office/drawing/2014/main" id="{5583F3EA-40C7-6B67-A29F-FE99AB006D4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6F768C80" wp14:editId="6A61FBF7">
                <wp:extent cx="5731510" cy="2875151"/>
                <wp:effectExtent l="0" t="0" r="2540" b="1905"/>
                <wp:docPr id="1280006116" name="Chart 1">
                  <a:extLst xmlns:a="http://schemas.openxmlformats.org/drawingml/2006/main">
                    <a:ext uri="{FF2B5EF4-FFF2-40B4-BE49-F238E27FC236}">
                      <a16:creationId xmlns:a16="http://schemas.microsoft.com/office/drawing/2014/main" id="{5583F3EA-40C7-6B67-A29F-FE99AB006D4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80006116" name="Chart 1">
                          <a:extLst>
                            <a:ext uri="{FF2B5EF4-FFF2-40B4-BE49-F238E27FC236}">
                              <a16:creationId xmlns:a16="http://schemas.microsoft.com/office/drawing/2014/main" id="{5583F3EA-40C7-6B67-A29F-FE99AB006D44}"/>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731510" cy="2874645"/>
                        </a:xfrm>
                        <a:prstGeom prst="rect">
                          <a:avLst/>
                        </a:prstGeom>
                      </pic:spPr>
                    </pic:pic>
                  </a:graphicData>
                </a:graphic>
              </wp:inline>
            </w:drawing>
          </mc:Fallback>
        </mc:AlternateContent>
      </w:r>
      <w:r w:rsidRPr="00873ECE">
        <w:rPr>
          <w:i/>
          <w:sz w:val="20"/>
          <w:szCs w:val="20"/>
        </w:rPr>
        <w:t xml:space="preserve">Figure </w:t>
      </w:r>
      <w:r>
        <w:rPr>
          <w:i/>
          <w:sz w:val="20"/>
          <w:szCs w:val="20"/>
        </w:rPr>
        <w:t>4:</w:t>
      </w:r>
      <w:r w:rsidRPr="00873ECE">
        <w:rPr>
          <w:i/>
          <w:sz w:val="20"/>
          <w:szCs w:val="20"/>
        </w:rPr>
        <w:t xml:space="preserve"> Composition of housing stress applications at March 202</w:t>
      </w:r>
      <w:r>
        <w:rPr>
          <w:i/>
          <w:sz w:val="20"/>
          <w:szCs w:val="20"/>
        </w:rPr>
        <w:t>4</w:t>
      </w:r>
      <w:r w:rsidRPr="00873ECE">
        <w:rPr>
          <w:i/>
          <w:sz w:val="20"/>
          <w:szCs w:val="20"/>
        </w:rPr>
        <w:t xml:space="preserve"> (i.e. 30 points or more) in Armagh City, Banbridge and Craigavon Borough. Source: Northern Ireland Housing Executive.</w:t>
      </w:r>
    </w:p>
    <w:p w14:paraId="47CC3279" w14:textId="77777777" w:rsidR="002105D7" w:rsidRDefault="002105D7" w:rsidP="00C07991">
      <w:pPr>
        <w:rPr>
          <w:i/>
          <w:sz w:val="20"/>
          <w:szCs w:val="20"/>
        </w:rPr>
      </w:pPr>
    </w:p>
    <w:tbl>
      <w:tblPr>
        <w:tblW w:w="8500" w:type="dxa"/>
        <w:tblLook w:val="04A0" w:firstRow="1" w:lastRow="0" w:firstColumn="1" w:lastColumn="0" w:noHBand="0" w:noVBand="1"/>
      </w:tblPr>
      <w:tblGrid>
        <w:gridCol w:w="1838"/>
        <w:gridCol w:w="6662"/>
      </w:tblGrid>
      <w:tr w:rsidR="00873ECE" w:rsidRPr="00873ECE" w14:paraId="2F0DE979" w14:textId="77777777" w:rsidTr="00757168">
        <w:trPr>
          <w:trHeight w:val="42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EA1C4" w14:textId="377FA241" w:rsidR="00E55C0B" w:rsidRPr="00873ECE" w:rsidRDefault="00F1580A" w:rsidP="00E55C0B">
            <w:pPr>
              <w:spacing w:after="0" w:line="240" w:lineRule="auto"/>
              <w:rPr>
                <w:rFonts w:ascii="Calibri" w:eastAsia="Times New Roman" w:hAnsi="Calibri" w:cs="Times New Roman"/>
                <w:b/>
                <w:bCs/>
                <w:lang w:eastAsia="en-GB"/>
              </w:rPr>
            </w:pPr>
            <w:r>
              <w:rPr>
                <w:rFonts w:ascii="Calibri" w:eastAsia="Times New Roman" w:hAnsi="Calibri" w:cs="Times New Roman"/>
                <w:b/>
                <w:bCs/>
                <w:lang w:eastAsia="en-GB"/>
              </w:rPr>
              <w:t>H</w:t>
            </w:r>
            <w:r w:rsidR="00E55C0B" w:rsidRPr="00873ECE">
              <w:rPr>
                <w:rFonts w:ascii="Calibri" w:eastAsia="Times New Roman" w:hAnsi="Calibri" w:cs="Times New Roman"/>
                <w:b/>
                <w:bCs/>
                <w:lang w:eastAsia="en-GB"/>
              </w:rPr>
              <w:t>ousehold Type</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0000857E" w14:textId="77777777" w:rsidR="00E55C0B" w:rsidRPr="00873ECE" w:rsidRDefault="00E55C0B" w:rsidP="00E55C0B">
            <w:pPr>
              <w:spacing w:after="0" w:line="240" w:lineRule="auto"/>
              <w:rPr>
                <w:rFonts w:ascii="Calibri" w:eastAsia="Times New Roman" w:hAnsi="Calibri" w:cs="Times New Roman"/>
                <w:b/>
                <w:bCs/>
                <w:lang w:eastAsia="en-GB"/>
              </w:rPr>
            </w:pPr>
            <w:r w:rsidRPr="00873ECE">
              <w:rPr>
                <w:rFonts w:ascii="Calibri" w:eastAsia="Times New Roman" w:hAnsi="Calibri" w:cs="Times New Roman"/>
                <w:b/>
                <w:bCs/>
                <w:lang w:eastAsia="en-GB"/>
              </w:rPr>
              <w:t>Definition</w:t>
            </w:r>
          </w:p>
        </w:tc>
      </w:tr>
      <w:tr w:rsidR="00873ECE" w:rsidRPr="00873ECE" w14:paraId="73F71BC5" w14:textId="77777777" w:rsidTr="00757168">
        <w:trPr>
          <w:trHeight w:val="56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3C2915D"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Single person</w:t>
            </w:r>
          </w:p>
        </w:tc>
        <w:tc>
          <w:tcPr>
            <w:tcW w:w="6662" w:type="dxa"/>
            <w:tcBorders>
              <w:top w:val="nil"/>
              <w:left w:val="nil"/>
              <w:bottom w:val="single" w:sz="4" w:space="0" w:color="auto"/>
              <w:right w:val="single" w:sz="4" w:space="0" w:color="auto"/>
            </w:tcBorders>
            <w:shd w:val="clear" w:color="auto" w:fill="auto"/>
            <w:vAlign w:val="center"/>
            <w:hideMark/>
          </w:tcPr>
          <w:p w14:paraId="1A4F6C36"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person 16-59 years old</w:t>
            </w:r>
          </w:p>
        </w:tc>
      </w:tr>
      <w:tr w:rsidR="00873ECE" w:rsidRPr="00873ECE" w14:paraId="1E9F56C7" w14:textId="77777777" w:rsidTr="00757168">
        <w:trPr>
          <w:trHeight w:val="55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9F151B2"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Older person</w:t>
            </w:r>
          </w:p>
        </w:tc>
        <w:tc>
          <w:tcPr>
            <w:tcW w:w="6662" w:type="dxa"/>
            <w:tcBorders>
              <w:top w:val="nil"/>
              <w:left w:val="nil"/>
              <w:bottom w:val="single" w:sz="4" w:space="0" w:color="auto"/>
              <w:right w:val="single" w:sz="4" w:space="0" w:color="auto"/>
            </w:tcBorders>
            <w:shd w:val="clear" w:color="auto" w:fill="auto"/>
            <w:vAlign w:val="center"/>
            <w:hideMark/>
          </w:tcPr>
          <w:p w14:paraId="69D800B0"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or 2 persons aged 16 or over, at least 1 over 60</w:t>
            </w:r>
          </w:p>
        </w:tc>
      </w:tr>
      <w:tr w:rsidR="00873ECE" w:rsidRPr="00873ECE" w14:paraId="43CF12F5" w14:textId="77777777" w:rsidTr="00757168">
        <w:trPr>
          <w:trHeight w:val="5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1D0C6EA"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Small adult</w:t>
            </w:r>
          </w:p>
        </w:tc>
        <w:tc>
          <w:tcPr>
            <w:tcW w:w="6662" w:type="dxa"/>
            <w:tcBorders>
              <w:top w:val="nil"/>
              <w:left w:val="nil"/>
              <w:bottom w:val="single" w:sz="4" w:space="0" w:color="auto"/>
              <w:right w:val="single" w:sz="4" w:space="0" w:color="auto"/>
            </w:tcBorders>
            <w:shd w:val="clear" w:color="auto" w:fill="auto"/>
            <w:vAlign w:val="center"/>
            <w:hideMark/>
          </w:tcPr>
          <w:p w14:paraId="216BE8CF"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2 persons 16-59 years old</w:t>
            </w:r>
          </w:p>
        </w:tc>
      </w:tr>
      <w:tr w:rsidR="00873ECE" w:rsidRPr="00873ECE" w14:paraId="3112D888" w14:textId="77777777" w:rsidTr="00757168">
        <w:trPr>
          <w:trHeight w:val="57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A171EF6"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Small family</w:t>
            </w:r>
          </w:p>
        </w:tc>
        <w:tc>
          <w:tcPr>
            <w:tcW w:w="6662" w:type="dxa"/>
            <w:tcBorders>
              <w:top w:val="nil"/>
              <w:left w:val="nil"/>
              <w:bottom w:val="single" w:sz="4" w:space="0" w:color="auto"/>
              <w:right w:val="single" w:sz="4" w:space="0" w:color="auto"/>
            </w:tcBorders>
            <w:shd w:val="clear" w:color="auto" w:fill="auto"/>
            <w:vAlign w:val="center"/>
            <w:hideMark/>
          </w:tcPr>
          <w:p w14:paraId="640BBB07"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or 2 persons aged 16 or over, with 1 or 2 children</w:t>
            </w:r>
          </w:p>
        </w:tc>
      </w:tr>
      <w:tr w:rsidR="00873ECE" w:rsidRPr="00873ECE" w14:paraId="048B1F09" w14:textId="77777777" w:rsidTr="00757168">
        <w:trPr>
          <w:trHeight w:val="55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B099CD8"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Large family</w:t>
            </w:r>
          </w:p>
        </w:tc>
        <w:tc>
          <w:tcPr>
            <w:tcW w:w="6662" w:type="dxa"/>
            <w:tcBorders>
              <w:top w:val="nil"/>
              <w:left w:val="nil"/>
              <w:bottom w:val="single" w:sz="4" w:space="0" w:color="auto"/>
              <w:right w:val="single" w:sz="4" w:space="0" w:color="auto"/>
            </w:tcBorders>
            <w:shd w:val="clear" w:color="auto" w:fill="auto"/>
            <w:vAlign w:val="center"/>
            <w:hideMark/>
          </w:tcPr>
          <w:p w14:paraId="7AD2D039"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or 2 persons aged 16 or over, and 3 or more persons 0-15, or 3 or more persons 16 or over and 2 or more persons aged 0-15</w:t>
            </w:r>
          </w:p>
        </w:tc>
      </w:tr>
      <w:tr w:rsidR="00873ECE" w:rsidRPr="00873ECE" w14:paraId="45E7D916" w14:textId="77777777" w:rsidTr="00757168">
        <w:trPr>
          <w:trHeight w:val="5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832475A" w14:textId="77777777" w:rsidR="00E55C0B" w:rsidRPr="00873ECE" w:rsidRDefault="00F51B99"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Large adult</w:t>
            </w:r>
          </w:p>
        </w:tc>
        <w:tc>
          <w:tcPr>
            <w:tcW w:w="6662" w:type="dxa"/>
            <w:tcBorders>
              <w:top w:val="nil"/>
              <w:left w:val="nil"/>
              <w:bottom w:val="single" w:sz="4" w:space="0" w:color="auto"/>
              <w:right w:val="single" w:sz="4" w:space="0" w:color="auto"/>
            </w:tcBorders>
            <w:shd w:val="clear" w:color="auto" w:fill="auto"/>
            <w:vAlign w:val="center"/>
            <w:hideMark/>
          </w:tcPr>
          <w:p w14:paraId="6BE8328A" w14:textId="77777777"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3 or more persons aged 16 or over with or without 1 person aged 0-15</w:t>
            </w:r>
          </w:p>
        </w:tc>
      </w:tr>
    </w:tbl>
    <w:p w14:paraId="6A7FEBB2" w14:textId="77777777" w:rsidR="00E55C0B" w:rsidRPr="00873ECE" w:rsidRDefault="00E55C0B" w:rsidP="00E55C0B">
      <w:pPr>
        <w:rPr>
          <w:i/>
          <w:sz w:val="20"/>
          <w:szCs w:val="20"/>
        </w:rPr>
      </w:pPr>
      <w:r w:rsidRPr="00873ECE">
        <w:rPr>
          <w:i/>
          <w:sz w:val="20"/>
          <w:szCs w:val="20"/>
        </w:rPr>
        <w:t>Table 2</w:t>
      </w:r>
      <w:r w:rsidR="00002FCA" w:rsidRPr="00873ECE">
        <w:rPr>
          <w:i/>
          <w:sz w:val="20"/>
          <w:szCs w:val="20"/>
        </w:rPr>
        <w:t>:</w:t>
      </w:r>
      <w:r w:rsidRPr="00873ECE">
        <w:rPr>
          <w:i/>
          <w:sz w:val="20"/>
          <w:szCs w:val="20"/>
        </w:rPr>
        <w:t xml:space="preserve"> Household Types Definitions. Source: </w:t>
      </w:r>
      <w:r w:rsidR="00002FCA" w:rsidRPr="00873ECE">
        <w:rPr>
          <w:i/>
          <w:sz w:val="20"/>
          <w:szCs w:val="20"/>
        </w:rPr>
        <w:t>Northern Ireland Housing Executive.</w:t>
      </w:r>
    </w:p>
    <w:p w14:paraId="4881E92D" w14:textId="77777777" w:rsidR="00E55C0B" w:rsidRPr="009976CE" w:rsidRDefault="00E55C0B" w:rsidP="00E55C0B">
      <w:pPr>
        <w:rPr>
          <w:i/>
          <w:color w:val="FF0000"/>
          <w:sz w:val="20"/>
          <w:szCs w:val="20"/>
        </w:rPr>
      </w:pPr>
    </w:p>
    <w:p w14:paraId="3ADB3133" w14:textId="77777777" w:rsidR="0017587F" w:rsidRPr="00F03935" w:rsidRDefault="0017587F" w:rsidP="00483CDF"/>
    <w:p w14:paraId="05FB40CE" w14:textId="77777777" w:rsidR="00D84BD2" w:rsidRPr="00F03935" w:rsidRDefault="00D84BD2" w:rsidP="00483CDF">
      <w:r w:rsidRPr="00F03935">
        <w:t>Further information on social housing can be found via the following links:</w:t>
      </w:r>
    </w:p>
    <w:p w14:paraId="12F1D90F" w14:textId="77777777" w:rsidR="00D84BD2" w:rsidRPr="00F03935" w:rsidRDefault="00443617" w:rsidP="00483CDF">
      <w:hyperlink r:id="rId12" w:history="1">
        <w:r w:rsidR="00D84BD2" w:rsidRPr="00F03935">
          <w:rPr>
            <w:rStyle w:val="Hyperlink"/>
            <w:color w:val="auto"/>
          </w:rPr>
          <w:t>https://www.nihe.gov.uk/Working-With-Us/Partners/Commissioning-prospectus</w:t>
        </w:r>
      </w:hyperlink>
    </w:p>
    <w:p w14:paraId="6320CD18" w14:textId="77777777" w:rsidR="00D84BD2" w:rsidRPr="00F03935" w:rsidRDefault="00443617" w:rsidP="00483CDF">
      <w:hyperlink r:id="rId13" w:history="1">
        <w:r w:rsidR="00D84BD2" w:rsidRPr="00F03935">
          <w:rPr>
            <w:rStyle w:val="Hyperlink"/>
            <w:color w:val="auto"/>
          </w:rPr>
          <w:t>https://www.nihe.gov.uk/Working-With-Us/Partners/Housing-Investment-Plans-(HIPS)</w:t>
        </w:r>
      </w:hyperlink>
    </w:p>
    <w:sectPr w:rsidR="00D84BD2" w:rsidRPr="00F0393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6AB1" w14:textId="77777777" w:rsidR="004D77C6" w:rsidRDefault="004D77C6" w:rsidP="004D77C6">
      <w:pPr>
        <w:spacing w:after="0" w:line="240" w:lineRule="auto"/>
      </w:pPr>
      <w:r>
        <w:separator/>
      </w:r>
    </w:p>
  </w:endnote>
  <w:endnote w:type="continuationSeparator" w:id="0">
    <w:p w14:paraId="77420922" w14:textId="77777777" w:rsidR="004D77C6" w:rsidRDefault="004D77C6" w:rsidP="004D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670147"/>
      <w:docPartObj>
        <w:docPartGallery w:val="Page Numbers (Bottom of Page)"/>
        <w:docPartUnique/>
      </w:docPartObj>
    </w:sdtPr>
    <w:sdtEndPr>
      <w:rPr>
        <w:noProof/>
      </w:rPr>
    </w:sdtEndPr>
    <w:sdtContent>
      <w:p w14:paraId="39C5EDB7" w14:textId="77777777" w:rsidR="00D84BD2" w:rsidRDefault="00D84BD2">
        <w:pPr>
          <w:pStyle w:val="Footer"/>
          <w:jc w:val="right"/>
        </w:pPr>
        <w:r>
          <w:fldChar w:fldCharType="begin"/>
        </w:r>
        <w:r>
          <w:instrText xml:space="preserve"> PAGE   \* MERGEFORMAT </w:instrText>
        </w:r>
        <w:r>
          <w:fldChar w:fldCharType="separate"/>
        </w:r>
        <w:r w:rsidR="009C6690">
          <w:rPr>
            <w:noProof/>
          </w:rPr>
          <w:t>2</w:t>
        </w:r>
        <w:r>
          <w:rPr>
            <w:noProof/>
          </w:rPr>
          <w:fldChar w:fldCharType="end"/>
        </w:r>
      </w:p>
    </w:sdtContent>
  </w:sdt>
  <w:p w14:paraId="793D50DB" w14:textId="77777777" w:rsidR="00D84BD2" w:rsidRDefault="00D8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9950" w14:textId="77777777" w:rsidR="004D77C6" w:rsidRDefault="004D77C6" w:rsidP="004D77C6">
      <w:pPr>
        <w:spacing w:after="0" w:line="240" w:lineRule="auto"/>
      </w:pPr>
      <w:r>
        <w:separator/>
      </w:r>
    </w:p>
  </w:footnote>
  <w:footnote w:type="continuationSeparator" w:id="0">
    <w:p w14:paraId="3E7E3D00" w14:textId="77777777" w:rsidR="004D77C6" w:rsidRDefault="004D77C6" w:rsidP="004D7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2C"/>
    <w:rsid w:val="00002FCA"/>
    <w:rsid w:val="0004577D"/>
    <w:rsid w:val="000747A4"/>
    <w:rsid w:val="000C5FC9"/>
    <w:rsid w:val="000D269A"/>
    <w:rsid w:val="001243BA"/>
    <w:rsid w:val="001309E1"/>
    <w:rsid w:val="00141523"/>
    <w:rsid w:val="00161862"/>
    <w:rsid w:val="001674A9"/>
    <w:rsid w:val="0017587F"/>
    <w:rsid w:val="001C79DA"/>
    <w:rsid w:val="002105D7"/>
    <w:rsid w:val="002144CB"/>
    <w:rsid w:val="00233534"/>
    <w:rsid w:val="002415D0"/>
    <w:rsid w:val="002669F7"/>
    <w:rsid w:val="00270C0F"/>
    <w:rsid w:val="002D5D2C"/>
    <w:rsid w:val="0031384D"/>
    <w:rsid w:val="003509BF"/>
    <w:rsid w:val="00350DCD"/>
    <w:rsid w:val="003C10D0"/>
    <w:rsid w:val="00422193"/>
    <w:rsid w:val="00483CDF"/>
    <w:rsid w:val="004D77C6"/>
    <w:rsid w:val="0050553F"/>
    <w:rsid w:val="00512AE4"/>
    <w:rsid w:val="00515BDA"/>
    <w:rsid w:val="00526B08"/>
    <w:rsid w:val="00533D1D"/>
    <w:rsid w:val="00565089"/>
    <w:rsid w:val="005D526F"/>
    <w:rsid w:val="005D63F6"/>
    <w:rsid w:val="00644C2A"/>
    <w:rsid w:val="006943AF"/>
    <w:rsid w:val="006B33A6"/>
    <w:rsid w:val="006F3533"/>
    <w:rsid w:val="00725DCE"/>
    <w:rsid w:val="00757168"/>
    <w:rsid w:val="007E2D4B"/>
    <w:rsid w:val="00873ECE"/>
    <w:rsid w:val="00884FAE"/>
    <w:rsid w:val="00895CB8"/>
    <w:rsid w:val="008A6A44"/>
    <w:rsid w:val="008D6178"/>
    <w:rsid w:val="008E5638"/>
    <w:rsid w:val="009046D4"/>
    <w:rsid w:val="009663C3"/>
    <w:rsid w:val="009762FF"/>
    <w:rsid w:val="009976CE"/>
    <w:rsid w:val="009C6690"/>
    <w:rsid w:val="009C7268"/>
    <w:rsid w:val="00A115F6"/>
    <w:rsid w:val="00A86885"/>
    <w:rsid w:val="00AD0498"/>
    <w:rsid w:val="00AD0F2F"/>
    <w:rsid w:val="00B2348D"/>
    <w:rsid w:val="00B31B2D"/>
    <w:rsid w:val="00B35FE3"/>
    <w:rsid w:val="00C07991"/>
    <w:rsid w:val="00C711FC"/>
    <w:rsid w:val="00CE27E0"/>
    <w:rsid w:val="00CF6911"/>
    <w:rsid w:val="00D167CF"/>
    <w:rsid w:val="00D203B8"/>
    <w:rsid w:val="00D67467"/>
    <w:rsid w:val="00D84BD2"/>
    <w:rsid w:val="00DB0F71"/>
    <w:rsid w:val="00DE4A83"/>
    <w:rsid w:val="00E030F8"/>
    <w:rsid w:val="00E55C0B"/>
    <w:rsid w:val="00E74645"/>
    <w:rsid w:val="00E833DA"/>
    <w:rsid w:val="00EB4658"/>
    <w:rsid w:val="00F03935"/>
    <w:rsid w:val="00F1580A"/>
    <w:rsid w:val="00F41E08"/>
    <w:rsid w:val="00F51B99"/>
    <w:rsid w:val="00F53A94"/>
    <w:rsid w:val="00F6211F"/>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879B"/>
  <w15:chartTrackingRefBased/>
  <w15:docId w15:val="{5D800980-FC13-4692-A463-1D6257EF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BDA"/>
    <w:rPr>
      <w:color w:val="0000FF"/>
      <w:u w:val="single"/>
    </w:rPr>
  </w:style>
  <w:style w:type="paragraph" w:styleId="BalloonText">
    <w:name w:val="Balloon Text"/>
    <w:basedOn w:val="Normal"/>
    <w:link w:val="BalloonTextChar"/>
    <w:uiPriority w:val="99"/>
    <w:semiHidden/>
    <w:unhideWhenUsed/>
    <w:rsid w:val="0089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B8"/>
    <w:rPr>
      <w:rFonts w:ascii="Segoe UI" w:hAnsi="Segoe UI" w:cs="Segoe UI"/>
      <w:sz w:val="18"/>
      <w:szCs w:val="18"/>
    </w:rPr>
  </w:style>
  <w:style w:type="paragraph" w:styleId="Header">
    <w:name w:val="header"/>
    <w:basedOn w:val="Normal"/>
    <w:link w:val="HeaderChar"/>
    <w:uiPriority w:val="99"/>
    <w:unhideWhenUsed/>
    <w:rsid w:val="004D7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7C6"/>
  </w:style>
  <w:style w:type="paragraph" w:styleId="Footer">
    <w:name w:val="footer"/>
    <w:basedOn w:val="Normal"/>
    <w:link w:val="FooterChar"/>
    <w:uiPriority w:val="99"/>
    <w:unhideWhenUsed/>
    <w:rsid w:val="004D7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7C6"/>
  </w:style>
  <w:style w:type="character" w:styleId="FollowedHyperlink">
    <w:name w:val="FollowedHyperlink"/>
    <w:basedOn w:val="DefaultParagraphFont"/>
    <w:uiPriority w:val="99"/>
    <w:semiHidden/>
    <w:unhideWhenUsed/>
    <w:rsid w:val="000747A4"/>
    <w:rPr>
      <w:color w:val="954F72" w:themeColor="followedHyperlink"/>
      <w:u w:val="single"/>
    </w:rPr>
  </w:style>
  <w:style w:type="table" w:styleId="GridTable1Light">
    <w:name w:val="Grid Table 1 Light"/>
    <w:basedOn w:val="TableNormal"/>
    <w:uiPriority w:val="46"/>
    <w:rsid w:val="00A115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6800">
      <w:bodyDiv w:val="1"/>
      <w:marLeft w:val="0"/>
      <w:marRight w:val="0"/>
      <w:marTop w:val="0"/>
      <w:marBottom w:val="0"/>
      <w:divBdr>
        <w:top w:val="none" w:sz="0" w:space="0" w:color="auto"/>
        <w:left w:val="none" w:sz="0" w:space="0" w:color="auto"/>
        <w:bottom w:val="none" w:sz="0" w:space="0" w:color="auto"/>
        <w:right w:val="none" w:sz="0" w:space="0" w:color="auto"/>
      </w:divBdr>
    </w:div>
    <w:div w:id="32966274">
      <w:bodyDiv w:val="1"/>
      <w:marLeft w:val="0"/>
      <w:marRight w:val="0"/>
      <w:marTop w:val="0"/>
      <w:marBottom w:val="0"/>
      <w:divBdr>
        <w:top w:val="none" w:sz="0" w:space="0" w:color="auto"/>
        <w:left w:val="none" w:sz="0" w:space="0" w:color="auto"/>
        <w:bottom w:val="none" w:sz="0" w:space="0" w:color="auto"/>
        <w:right w:val="none" w:sz="0" w:space="0" w:color="auto"/>
      </w:divBdr>
    </w:div>
    <w:div w:id="84113256">
      <w:bodyDiv w:val="1"/>
      <w:marLeft w:val="0"/>
      <w:marRight w:val="0"/>
      <w:marTop w:val="0"/>
      <w:marBottom w:val="0"/>
      <w:divBdr>
        <w:top w:val="none" w:sz="0" w:space="0" w:color="auto"/>
        <w:left w:val="none" w:sz="0" w:space="0" w:color="auto"/>
        <w:bottom w:val="none" w:sz="0" w:space="0" w:color="auto"/>
        <w:right w:val="none" w:sz="0" w:space="0" w:color="auto"/>
      </w:divBdr>
    </w:div>
    <w:div w:id="86275268">
      <w:bodyDiv w:val="1"/>
      <w:marLeft w:val="0"/>
      <w:marRight w:val="0"/>
      <w:marTop w:val="0"/>
      <w:marBottom w:val="0"/>
      <w:divBdr>
        <w:top w:val="none" w:sz="0" w:space="0" w:color="auto"/>
        <w:left w:val="none" w:sz="0" w:space="0" w:color="auto"/>
        <w:bottom w:val="none" w:sz="0" w:space="0" w:color="auto"/>
        <w:right w:val="none" w:sz="0" w:space="0" w:color="auto"/>
      </w:divBdr>
    </w:div>
    <w:div w:id="179704437">
      <w:bodyDiv w:val="1"/>
      <w:marLeft w:val="0"/>
      <w:marRight w:val="0"/>
      <w:marTop w:val="0"/>
      <w:marBottom w:val="0"/>
      <w:divBdr>
        <w:top w:val="none" w:sz="0" w:space="0" w:color="auto"/>
        <w:left w:val="none" w:sz="0" w:space="0" w:color="auto"/>
        <w:bottom w:val="none" w:sz="0" w:space="0" w:color="auto"/>
        <w:right w:val="none" w:sz="0" w:space="0" w:color="auto"/>
      </w:divBdr>
    </w:div>
    <w:div w:id="215166425">
      <w:bodyDiv w:val="1"/>
      <w:marLeft w:val="0"/>
      <w:marRight w:val="0"/>
      <w:marTop w:val="0"/>
      <w:marBottom w:val="0"/>
      <w:divBdr>
        <w:top w:val="none" w:sz="0" w:space="0" w:color="auto"/>
        <w:left w:val="none" w:sz="0" w:space="0" w:color="auto"/>
        <w:bottom w:val="none" w:sz="0" w:space="0" w:color="auto"/>
        <w:right w:val="none" w:sz="0" w:space="0" w:color="auto"/>
      </w:divBdr>
    </w:div>
    <w:div w:id="309864013">
      <w:bodyDiv w:val="1"/>
      <w:marLeft w:val="0"/>
      <w:marRight w:val="0"/>
      <w:marTop w:val="0"/>
      <w:marBottom w:val="0"/>
      <w:divBdr>
        <w:top w:val="none" w:sz="0" w:space="0" w:color="auto"/>
        <w:left w:val="none" w:sz="0" w:space="0" w:color="auto"/>
        <w:bottom w:val="none" w:sz="0" w:space="0" w:color="auto"/>
        <w:right w:val="none" w:sz="0" w:space="0" w:color="auto"/>
      </w:divBdr>
    </w:div>
    <w:div w:id="317657391">
      <w:bodyDiv w:val="1"/>
      <w:marLeft w:val="0"/>
      <w:marRight w:val="0"/>
      <w:marTop w:val="0"/>
      <w:marBottom w:val="0"/>
      <w:divBdr>
        <w:top w:val="none" w:sz="0" w:space="0" w:color="auto"/>
        <w:left w:val="none" w:sz="0" w:space="0" w:color="auto"/>
        <w:bottom w:val="none" w:sz="0" w:space="0" w:color="auto"/>
        <w:right w:val="none" w:sz="0" w:space="0" w:color="auto"/>
      </w:divBdr>
    </w:div>
    <w:div w:id="411440052">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839541782">
      <w:bodyDiv w:val="1"/>
      <w:marLeft w:val="0"/>
      <w:marRight w:val="0"/>
      <w:marTop w:val="0"/>
      <w:marBottom w:val="0"/>
      <w:divBdr>
        <w:top w:val="none" w:sz="0" w:space="0" w:color="auto"/>
        <w:left w:val="none" w:sz="0" w:space="0" w:color="auto"/>
        <w:bottom w:val="none" w:sz="0" w:space="0" w:color="auto"/>
        <w:right w:val="none" w:sz="0" w:space="0" w:color="auto"/>
      </w:divBdr>
    </w:div>
    <w:div w:id="872889930">
      <w:bodyDiv w:val="1"/>
      <w:marLeft w:val="0"/>
      <w:marRight w:val="0"/>
      <w:marTop w:val="0"/>
      <w:marBottom w:val="0"/>
      <w:divBdr>
        <w:top w:val="none" w:sz="0" w:space="0" w:color="auto"/>
        <w:left w:val="none" w:sz="0" w:space="0" w:color="auto"/>
        <w:bottom w:val="none" w:sz="0" w:space="0" w:color="auto"/>
        <w:right w:val="none" w:sz="0" w:space="0" w:color="auto"/>
      </w:divBdr>
    </w:div>
    <w:div w:id="877623851">
      <w:bodyDiv w:val="1"/>
      <w:marLeft w:val="0"/>
      <w:marRight w:val="0"/>
      <w:marTop w:val="0"/>
      <w:marBottom w:val="0"/>
      <w:divBdr>
        <w:top w:val="none" w:sz="0" w:space="0" w:color="auto"/>
        <w:left w:val="none" w:sz="0" w:space="0" w:color="auto"/>
        <w:bottom w:val="none" w:sz="0" w:space="0" w:color="auto"/>
        <w:right w:val="none" w:sz="0" w:space="0" w:color="auto"/>
      </w:divBdr>
    </w:div>
    <w:div w:id="993994754">
      <w:bodyDiv w:val="1"/>
      <w:marLeft w:val="0"/>
      <w:marRight w:val="0"/>
      <w:marTop w:val="0"/>
      <w:marBottom w:val="0"/>
      <w:divBdr>
        <w:top w:val="none" w:sz="0" w:space="0" w:color="auto"/>
        <w:left w:val="none" w:sz="0" w:space="0" w:color="auto"/>
        <w:bottom w:val="none" w:sz="0" w:space="0" w:color="auto"/>
        <w:right w:val="none" w:sz="0" w:space="0" w:color="auto"/>
      </w:divBdr>
    </w:div>
    <w:div w:id="1043822702">
      <w:bodyDiv w:val="1"/>
      <w:marLeft w:val="0"/>
      <w:marRight w:val="0"/>
      <w:marTop w:val="0"/>
      <w:marBottom w:val="0"/>
      <w:divBdr>
        <w:top w:val="none" w:sz="0" w:space="0" w:color="auto"/>
        <w:left w:val="none" w:sz="0" w:space="0" w:color="auto"/>
        <w:bottom w:val="none" w:sz="0" w:space="0" w:color="auto"/>
        <w:right w:val="none" w:sz="0" w:space="0" w:color="auto"/>
      </w:divBdr>
    </w:div>
    <w:div w:id="1047297853">
      <w:bodyDiv w:val="1"/>
      <w:marLeft w:val="0"/>
      <w:marRight w:val="0"/>
      <w:marTop w:val="0"/>
      <w:marBottom w:val="0"/>
      <w:divBdr>
        <w:top w:val="none" w:sz="0" w:space="0" w:color="auto"/>
        <w:left w:val="none" w:sz="0" w:space="0" w:color="auto"/>
        <w:bottom w:val="none" w:sz="0" w:space="0" w:color="auto"/>
        <w:right w:val="none" w:sz="0" w:space="0" w:color="auto"/>
      </w:divBdr>
    </w:div>
    <w:div w:id="1052778348">
      <w:bodyDiv w:val="1"/>
      <w:marLeft w:val="0"/>
      <w:marRight w:val="0"/>
      <w:marTop w:val="0"/>
      <w:marBottom w:val="0"/>
      <w:divBdr>
        <w:top w:val="none" w:sz="0" w:space="0" w:color="auto"/>
        <w:left w:val="none" w:sz="0" w:space="0" w:color="auto"/>
        <w:bottom w:val="none" w:sz="0" w:space="0" w:color="auto"/>
        <w:right w:val="none" w:sz="0" w:space="0" w:color="auto"/>
      </w:divBdr>
    </w:div>
    <w:div w:id="1076242434">
      <w:bodyDiv w:val="1"/>
      <w:marLeft w:val="0"/>
      <w:marRight w:val="0"/>
      <w:marTop w:val="0"/>
      <w:marBottom w:val="0"/>
      <w:divBdr>
        <w:top w:val="none" w:sz="0" w:space="0" w:color="auto"/>
        <w:left w:val="none" w:sz="0" w:space="0" w:color="auto"/>
        <w:bottom w:val="none" w:sz="0" w:space="0" w:color="auto"/>
        <w:right w:val="none" w:sz="0" w:space="0" w:color="auto"/>
      </w:divBdr>
    </w:div>
    <w:div w:id="1136603676">
      <w:bodyDiv w:val="1"/>
      <w:marLeft w:val="0"/>
      <w:marRight w:val="0"/>
      <w:marTop w:val="0"/>
      <w:marBottom w:val="0"/>
      <w:divBdr>
        <w:top w:val="none" w:sz="0" w:space="0" w:color="auto"/>
        <w:left w:val="none" w:sz="0" w:space="0" w:color="auto"/>
        <w:bottom w:val="none" w:sz="0" w:space="0" w:color="auto"/>
        <w:right w:val="none" w:sz="0" w:space="0" w:color="auto"/>
      </w:divBdr>
    </w:div>
    <w:div w:id="1151754156">
      <w:bodyDiv w:val="1"/>
      <w:marLeft w:val="0"/>
      <w:marRight w:val="0"/>
      <w:marTop w:val="0"/>
      <w:marBottom w:val="0"/>
      <w:divBdr>
        <w:top w:val="none" w:sz="0" w:space="0" w:color="auto"/>
        <w:left w:val="none" w:sz="0" w:space="0" w:color="auto"/>
        <w:bottom w:val="none" w:sz="0" w:space="0" w:color="auto"/>
        <w:right w:val="none" w:sz="0" w:space="0" w:color="auto"/>
      </w:divBdr>
    </w:div>
    <w:div w:id="1194071959">
      <w:bodyDiv w:val="1"/>
      <w:marLeft w:val="0"/>
      <w:marRight w:val="0"/>
      <w:marTop w:val="0"/>
      <w:marBottom w:val="0"/>
      <w:divBdr>
        <w:top w:val="none" w:sz="0" w:space="0" w:color="auto"/>
        <w:left w:val="none" w:sz="0" w:space="0" w:color="auto"/>
        <w:bottom w:val="none" w:sz="0" w:space="0" w:color="auto"/>
        <w:right w:val="none" w:sz="0" w:space="0" w:color="auto"/>
      </w:divBdr>
    </w:div>
    <w:div w:id="1356081553">
      <w:bodyDiv w:val="1"/>
      <w:marLeft w:val="0"/>
      <w:marRight w:val="0"/>
      <w:marTop w:val="0"/>
      <w:marBottom w:val="0"/>
      <w:divBdr>
        <w:top w:val="none" w:sz="0" w:space="0" w:color="auto"/>
        <w:left w:val="none" w:sz="0" w:space="0" w:color="auto"/>
        <w:bottom w:val="none" w:sz="0" w:space="0" w:color="auto"/>
        <w:right w:val="none" w:sz="0" w:space="0" w:color="auto"/>
      </w:divBdr>
    </w:div>
    <w:div w:id="1403019059">
      <w:bodyDiv w:val="1"/>
      <w:marLeft w:val="0"/>
      <w:marRight w:val="0"/>
      <w:marTop w:val="0"/>
      <w:marBottom w:val="0"/>
      <w:divBdr>
        <w:top w:val="none" w:sz="0" w:space="0" w:color="auto"/>
        <w:left w:val="none" w:sz="0" w:space="0" w:color="auto"/>
        <w:bottom w:val="none" w:sz="0" w:space="0" w:color="auto"/>
        <w:right w:val="none" w:sz="0" w:space="0" w:color="auto"/>
      </w:divBdr>
    </w:div>
    <w:div w:id="1411541093">
      <w:bodyDiv w:val="1"/>
      <w:marLeft w:val="0"/>
      <w:marRight w:val="0"/>
      <w:marTop w:val="0"/>
      <w:marBottom w:val="0"/>
      <w:divBdr>
        <w:top w:val="none" w:sz="0" w:space="0" w:color="auto"/>
        <w:left w:val="none" w:sz="0" w:space="0" w:color="auto"/>
        <w:bottom w:val="none" w:sz="0" w:space="0" w:color="auto"/>
        <w:right w:val="none" w:sz="0" w:space="0" w:color="auto"/>
      </w:divBdr>
    </w:div>
    <w:div w:id="1421560542">
      <w:bodyDiv w:val="1"/>
      <w:marLeft w:val="0"/>
      <w:marRight w:val="0"/>
      <w:marTop w:val="0"/>
      <w:marBottom w:val="0"/>
      <w:divBdr>
        <w:top w:val="none" w:sz="0" w:space="0" w:color="auto"/>
        <w:left w:val="none" w:sz="0" w:space="0" w:color="auto"/>
        <w:bottom w:val="none" w:sz="0" w:space="0" w:color="auto"/>
        <w:right w:val="none" w:sz="0" w:space="0" w:color="auto"/>
      </w:divBdr>
    </w:div>
    <w:div w:id="1452433218">
      <w:bodyDiv w:val="1"/>
      <w:marLeft w:val="0"/>
      <w:marRight w:val="0"/>
      <w:marTop w:val="0"/>
      <w:marBottom w:val="0"/>
      <w:divBdr>
        <w:top w:val="none" w:sz="0" w:space="0" w:color="auto"/>
        <w:left w:val="none" w:sz="0" w:space="0" w:color="auto"/>
        <w:bottom w:val="none" w:sz="0" w:space="0" w:color="auto"/>
        <w:right w:val="none" w:sz="0" w:space="0" w:color="auto"/>
      </w:divBdr>
    </w:div>
    <w:div w:id="1499692582">
      <w:bodyDiv w:val="1"/>
      <w:marLeft w:val="0"/>
      <w:marRight w:val="0"/>
      <w:marTop w:val="0"/>
      <w:marBottom w:val="0"/>
      <w:divBdr>
        <w:top w:val="none" w:sz="0" w:space="0" w:color="auto"/>
        <w:left w:val="none" w:sz="0" w:space="0" w:color="auto"/>
        <w:bottom w:val="none" w:sz="0" w:space="0" w:color="auto"/>
        <w:right w:val="none" w:sz="0" w:space="0" w:color="auto"/>
      </w:divBdr>
    </w:div>
    <w:div w:id="1563635030">
      <w:bodyDiv w:val="1"/>
      <w:marLeft w:val="0"/>
      <w:marRight w:val="0"/>
      <w:marTop w:val="0"/>
      <w:marBottom w:val="0"/>
      <w:divBdr>
        <w:top w:val="none" w:sz="0" w:space="0" w:color="auto"/>
        <w:left w:val="none" w:sz="0" w:space="0" w:color="auto"/>
        <w:bottom w:val="none" w:sz="0" w:space="0" w:color="auto"/>
        <w:right w:val="none" w:sz="0" w:space="0" w:color="auto"/>
      </w:divBdr>
    </w:div>
    <w:div w:id="1588929263">
      <w:bodyDiv w:val="1"/>
      <w:marLeft w:val="0"/>
      <w:marRight w:val="0"/>
      <w:marTop w:val="0"/>
      <w:marBottom w:val="0"/>
      <w:divBdr>
        <w:top w:val="none" w:sz="0" w:space="0" w:color="auto"/>
        <w:left w:val="none" w:sz="0" w:space="0" w:color="auto"/>
        <w:bottom w:val="none" w:sz="0" w:space="0" w:color="auto"/>
        <w:right w:val="none" w:sz="0" w:space="0" w:color="auto"/>
      </w:divBdr>
    </w:div>
    <w:div w:id="1606645378">
      <w:bodyDiv w:val="1"/>
      <w:marLeft w:val="0"/>
      <w:marRight w:val="0"/>
      <w:marTop w:val="0"/>
      <w:marBottom w:val="0"/>
      <w:divBdr>
        <w:top w:val="none" w:sz="0" w:space="0" w:color="auto"/>
        <w:left w:val="none" w:sz="0" w:space="0" w:color="auto"/>
        <w:bottom w:val="none" w:sz="0" w:space="0" w:color="auto"/>
        <w:right w:val="none" w:sz="0" w:space="0" w:color="auto"/>
      </w:divBdr>
    </w:div>
    <w:div w:id="1614441784">
      <w:bodyDiv w:val="1"/>
      <w:marLeft w:val="0"/>
      <w:marRight w:val="0"/>
      <w:marTop w:val="0"/>
      <w:marBottom w:val="0"/>
      <w:divBdr>
        <w:top w:val="none" w:sz="0" w:space="0" w:color="auto"/>
        <w:left w:val="none" w:sz="0" w:space="0" w:color="auto"/>
        <w:bottom w:val="none" w:sz="0" w:space="0" w:color="auto"/>
        <w:right w:val="none" w:sz="0" w:space="0" w:color="auto"/>
      </w:divBdr>
    </w:div>
    <w:div w:id="1907841008">
      <w:bodyDiv w:val="1"/>
      <w:marLeft w:val="0"/>
      <w:marRight w:val="0"/>
      <w:marTop w:val="0"/>
      <w:marBottom w:val="0"/>
      <w:divBdr>
        <w:top w:val="none" w:sz="0" w:space="0" w:color="auto"/>
        <w:left w:val="none" w:sz="0" w:space="0" w:color="auto"/>
        <w:bottom w:val="none" w:sz="0" w:space="0" w:color="auto"/>
        <w:right w:val="none" w:sz="0" w:space="0" w:color="auto"/>
      </w:divBdr>
    </w:div>
    <w:div w:id="1929802646">
      <w:bodyDiv w:val="1"/>
      <w:marLeft w:val="0"/>
      <w:marRight w:val="0"/>
      <w:marTop w:val="0"/>
      <w:marBottom w:val="0"/>
      <w:divBdr>
        <w:top w:val="none" w:sz="0" w:space="0" w:color="auto"/>
        <w:left w:val="none" w:sz="0" w:space="0" w:color="auto"/>
        <w:bottom w:val="none" w:sz="0" w:space="0" w:color="auto"/>
        <w:right w:val="none" w:sz="0" w:space="0" w:color="auto"/>
      </w:divBdr>
    </w:div>
    <w:div w:id="2001303090">
      <w:bodyDiv w:val="1"/>
      <w:marLeft w:val="0"/>
      <w:marRight w:val="0"/>
      <w:marTop w:val="0"/>
      <w:marBottom w:val="0"/>
      <w:divBdr>
        <w:top w:val="none" w:sz="0" w:space="0" w:color="auto"/>
        <w:left w:val="none" w:sz="0" w:space="0" w:color="auto"/>
        <w:bottom w:val="none" w:sz="0" w:space="0" w:color="auto"/>
        <w:right w:val="none" w:sz="0" w:space="0" w:color="auto"/>
      </w:divBdr>
    </w:div>
    <w:div w:id="21009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nihe.gov.uk/Working-With-Us/Partners/Housing-Investment-Plans-(HIP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nihe.gov.uk/Working-With-Us/Partners/Commissioning-prospe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4/relationships/chartEx" Target="charts/chartEx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Social%20Housing\Social%20housing%20Stats%20updat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Social%20Housing\Social%20housing%20Stats%20upda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Social%20Housing\Social%20housing%20Stats%20updated.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abc-svr-17\ABC-Banbridgelegacy\community_planning\2.%20Cmty%20&amp;%20Strat%20Planning%20JD\DATA%20ANALYST\2.%20Statistics%20for%20Website\Housing\Updates\2024\Social%20Housing\Social%20housing%20Stats%20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'2024'!$H$4</c:f>
              <c:strCache>
                <c:ptCount val="1"/>
                <c:pt idx="0">
                  <c:v>Social Housing Need</c:v>
                </c:pt>
              </c:strCache>
            </c:strRef>
          </c:tx>
          <c:spPr>
            <a:ln w="28575" cap="rnd">
              <a:solidFill>
                <a:schemeClr val="accent1"/>
              </a:solidFill>
              <a:round/>
            </a:ln>
            <a:effectLst/>
          </c:spPr>
          <c:marker>
            <c:symbol val="star"/>
            <c:size val="6"/>
            <c:spPr>
              <a:noFill/>
              <a:ln w="9525">
                <a:solidFill>
                  <a:schemeClr val="accent1"/>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'2024'!$G$5:$G$14</c:f>
              <c:strCache>
                <c:ptCount val="10"/>
                <c:pt idx="0">
                  <c:v>2014-19</c:v>
                </c:pt>
                <c:pt idx="1">
                  <c:v>2015-20</c:v>
                </c:pt>
                <c:pt idx="2">
                  <c:v>2016-21</c:v>
                </c:pt>
                <c:pt idx="3">
                  <c:v>2017-22</c:v>
                </c:pt>
                <c:pt idx="4">
                  <c:v>2018-23</c:v>
                </c:pt>
                <c:pt idx="5">
                  <c:v>2019-24</c:v>
                </c:pt>
                <c:pt idx="6">
                  <c:v>2020-25</c:v>
                </c:pt>
                <c:pt idx="7">
                  <c:v>2021-26</c:v>
                </c:pt>
                <c:pt idx="8">
                  <c:v>2022-27</c:v>
                </c:pt>
                <c:pt idx="9">
                  <c:v>2023-28</c:v>
                </c:pt>
              </c:strCache>
            </c:strRef>
          </c:cat>
          <c:val>
            <c:numRef>
              <c:f>'2024'!$H$5:$H$14</c:f>
              <c:numCache>
                <c:formatCode>General</c:formatCode>
                <c:ptCount val="10"/>
                <c:pt idx="0">
                  <c:v>317</c:v>
                </c:pt>
                <c:pt idx="1">
                  <c:v>302</c:v>
                </c:pt>
                <c:pt idx="2">
                  <c:v>302</c:v>
                </c:pt>
                <c:pt idx="3">
                  <c:v>327</c:v>
                </c:pt>
                <c:pt idx="4">
                  <c:v>360</c:v>
                </c:pt>
                <c:pt idx="5" formatCode="#,##0">
                  <c:v>504</c:v>
                </c:pt>
                <c:pt idx="6">
                  <c:v>646</c:v>
                </c:pt>
                <c:pt idx="7">
                  <c:v>820</c:v>
                </c:pt>
                <c:pt idx="8">
                  <c:v>1101</c:v>
                </c:pt>
                <c:pt idx="9">
                  <c:v>1498</c:v>
                </c:pt>
              </c:numCache>
            </c:numRef>
          </c:val>
          <c:smooth val="0"/>
          <c:extLst>
            <c:ext xmlns:c16="http://schemas.microsoft.com/office/drawing/2014/chart" uri="{C3380CC4-5D6E-409C-BE32-E72D297353CC}">
              <c16:uniqueId val="{00000000-3487-4080-B391-0F1498442749}"/>
            </c:ext>
          </c:extLst>
        </c:ser>
        <c:dLbls>
          <c:showLegendKey val="0"/>
          <c:showVal val="0"/>
          <c:showCatName val="0"/>
          <c:showSerName val="0"/>
          <c:showPercent val="0"/>
          <c:showBubbleSize val="0"/>
        </c:dLbls>
        <c:marker val="1"/>
        <c:smooth val="0"/>
        <c:axId val="92061328"/>
        <c:axId val="92060848"/>
      </c:lineChart>
      <c:catAx>
        <c:axId val="920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60848"/>
        <c:crosses val="autoZero"/>
        <c:auto val="1"/>
        <c:lblAlgn val="ctr"/>
        <c:lblOffset val="100"/>
        <c:noMultiLvlLbl val="0"/>
      </c:catAx>
      <c:valAx>
        <c:axId val="92060848"/>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61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4496867835475729"/>
          <c:y val="5.5599242755206064E-2"/>
          <c:w val="0.50741989917393238"/>
          <c:h val="0.87683626702625472"/>
        </c:manualLayout>
      </c:layout>
      <c:barChart>
        <c:barDir val="bar"/>
        <c:grouping val="clustered"/>
        <c:varyColors val="0"/>
        <c:ser>
          <c:idx val="0"/>
          <c:order val="0"/>
          <c:tx>
            <c:strRef>
              <c:f>'2024'!$C$25</c:f>
              <c:strCache>
                <c:ptCount val="1"/>
              </c:strCache>
            </c:strRef>
          </c:tx>
          <c:spPr>
            <a:solidFill>
              <a:schemeClr val="accent1"/>
            </a:solidFill>
            <a:ln>
              <a:noFill/>
            </a:ln>
            <a:effectLst/>
          </c:spPr>
          <c:invertIfNegative val="0"/>
          <c:dPt>
            <c:idx val="7"/>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0-6C22-4D7F-B06B-6D9451CA4A27}"/>
              </c:ext>
            </c:extLst>
          </c:dPt>
          <c:cat>
            <c:strRef>
              <c:f>'2024'!$B$26:$B$44</c:f>
              <c:strCache>
                <c:ptCount val="19"/>
                <c:pt idx="0">
                  <c:v>North Lurgan </c:v>
                </c:pt>
                <c:pt idx="1">
                  <c:v>Portadown 2 </c:v>
                </c:pt>
                <c:pt idx="2">
                  <c:v>Banbridge Town </c:v>
                </c:pt>
                <c:pt idx="3">
                  <c:v>Armagh 1 </c:v>
                </c:pt>
                <c:pt idx="4">
                  <c:v>Central Craigavon </c:v>
                </c:pt>
                <c:pt idx="5">
                  <c:v>Portadown 1 </c:v>
                </c:pt>
                <c:pt idx="6">
                  <c:v>South Lurgan </c:v>
                </c:pt>
                <c:pt idx="7">
                  <c:v>Remaining Settlments (need less than 10)</c:v>
                </c:pt>
                <c:pt idx="8">
                  <c:v>Dromore </c:v>
                </c:pt>
                <c:pt idx="9">
                  <c:v>Armagh 2 </c:v>
                </c:pt>
                <c:pt idx="10">
                  <c:v>Rathfriland </c:v>
                </c:pt>
                <c:pt idx="11">
                  <c:v>Derrymacash/Derrytrasna/Kinnego </c:v>
                </c:pt>
                <c:pt idx="12">
                  <c:v>Keady </c:v>
                </c:pt>
                <c:pt idx="13">
                  <c:v>Richhill</c:v>
                </c:pt>
                <c:pt idx="14">
                  <c:v>Gilford</c:v>
                </c:pt>
                <c:pt idx="15">
                  <c:v>Aghagallon </c:v>
                </c:pt>
                <c:pt idx="16">
                  <c:v>Portadown Rural </c:v>
                </c:pt>
                <c:pt idx="17">
                  <c:v>Loughbrickland </c:v>
                </c:pt>
                <c:pt idx="18">
                  <c:v>Middletown </c:v>
                </c:pt>
              </c:strCache>
            </c:strRef>
          </c:cat>
          <c:val>
            <c:numRef>
              <c:f>'2024'!$C$26:$C$44</c:f>
              <c:numCache>
                <c:formatCode>General</c:formatCode>
                <c:ptCount val="19"/>
                <c:pt idx="0">
                  <c:v>316</c:v>
                </c:pt>
                <c:pt idx="1">
                  <c:v>229</c:v>
                </c:pt>
                <c:pt idx="2">
                  <c:v>197</c:v>
                </c:pt>
                <c:pt idx="3">
                  <c:v>135</c:v>
                </c:pt>
                <c:pt idx="4">
                  <c:v>124</c:v>
                </c:pt>
                <c:pt idx="5">
                  <c:v>100</c:v>
                </c:pt>
                <c:pt idx="6">
                  <c:v>90</c:v>
                </c:pt>
                <c:pt idx="7">
                  <c:v>66</c:v>
                </c:pt>
                <c:pt idx="8">
                  <c:v>57</c:v>
                </c:pt>
                <c:pt idx="9">
                  <c:v>49</c:v>
                </c:pt>
                <c:pt idx="10">
                  <c:v>28</c:v>
                </c:pt>
                <c:pt idx="11">
                  <c:v>20</c:v>
                </c:pt>
                <c:pt idx="12">
                  <c:v>17</c:v>
                </c:pt>
                <c:pt idx="13">
                  <c:v>14</c:v>
                </c:pt>
                <c:pt idx="14">
                  <c:v>13</c:v>
                </c:pt>
                <c:pt idx="15">
                  <c:v>12</c:v>
                </c:pt>
                <c:pt idx="16">
                  <c:v>11</c:v>
                </c:pt>
                <c:pt idx="17">
                  <c:v>10</c:v>
                </c:pt>
                <c:pt idx="18">
                  <c:v>10</c:v>
                </c:pt>
              </c:numCache>
            </c:numRef>
          </c:val>
          <c:extLst>
            <c:ext xmlns:c16="http://schemas.microsoft.com/office/drawing/2014/chart" uri="{C3380CC4-5D6E-409C-BE32-E72D297353CC}">
              <c16:uniqueId val="{00000000-4F8B-4A12-BD91-DDC2ED1A188C}"/>
            </c:ext>
          </c:extLst>
        </c:ser>
        <c:dLbls>
          <c:showLegendKey val="0"/>
          <c:showVal val="0"/>
          <c:showCatName val="0"/>
          <c:showSerName val="0"/>
          <c:showPercent val="0"/>
          <c:showBubbleSize val="0"/>
        </c:dLbls>
        <c:gapWidth val="100"/>
        <c:axId val="1695326096"/>
        <c:axId val="1867346064"/>
      </c:barChart>
      <c:catAx>
        <c:axId val="169532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7346064"/>
        <c:crosses val="autoZero"/>
        <c:auto val="1"/>
        <c:lblAlgn val="ctr"/>
        <c:lblOffset val="100"/>
        <c:noMultiLvlLbl val="0"/>
      </c:catAx>
      <c:valAx>
        <c:axId val="1867346064"/>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532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'Waiting List 2024'!$A$18</c:f>
              <c:strCache>
                <c:ptCount val="1"/>
                <c:pt idx="0">
                  <c:v>Applicants</c:v>
                </c:pt>
              </c:strCache>
            </c:strRef>
          </c:tx>
          <c:spPr>
            <a:ln w="28575" cap="rnd">
              <a:solidFill>
                <a:schemeClr val="accent1"/>
              </a:solidFill>
              <a:round/>
            </a:ln>
            <a:effectLst/>
          </c:spPr>
          <c:marker>
            <c:symbol val="x"/>
            <c:size val="5"/>
            <c:spPr>
              <a:no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'Waiting List 2024'!$B$17:$L$17</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'Waiting List 2024'!$B$18:$L$18</c:f>
              <c:numCache>
                <c:formatCode>#,##0</c:formatCode>
                <c:ptCount val="11"/>
                <c:pt idx="0">
                  <c:v>3161</c:v>
                </c:pt>
                <c:pt idx="1">
                  <c:v>3059</c:v>
                </c:pt>
                <c:pt idx="2">
                  <c:v>2957</c:v>
                </c:pt>
                <c:pt idx="3">
                  <c:v>3080</c:v>
                </c:pt>
                <c:pt idx="4">
                  <c:v>2937</c:v>
                </c:pt>
                <c:pt idx="5">
                  <c:v>3076</c:v>
                </c:pt>
                <c:pt idx="6">
                  <c:v>3220</c:v>
                </c:pt>
                <c:pt idx="7">
                  <c:v>4041</c:v>
                </c:pt>
                <c:pt idx="8">
                  <c:v>3721</c:v>
                </c:pt>
                <c:pt idx="9">
                  <c:v>3712</c:v>
                </c:pt>
                <c:pt idx="10">
                  <c:v>3916</c:v>
                </c:pt>
              </c:numCache>
            </c:numRef>
          </c:val>
          <c:smooth val="0"/>
          <c:extLst>
            <c:ext xmlns:c16="http://schemas.microsoft.com/office/drawing/2014/chart" uri="{C3380CC4-5D6E-409C-BE32-E72D297353CC}">
              <c16:uniqueId val="{00000000-487E-4FFE-835C-21F86354A7A6}"/>
            </c:ext>
          </c:extLst>
        </c:ser>
        <c:ser>
          <c:idx val="1"/>
          <c:order val="1"/>
          <c:tx>
            <c:strRef>
              <c:f>'Waiting List 2024'!$A$19</c:f>
              <c:strCache>
                <c:ptCount val="1"/>
                <c:pt idx="0">
                  <c:v>Applicants  in Housing Stress</c:v>
                </c:pt>
              </c:strCache>
            </c:strRef>
          </c:tx>
          <c:spPr>
            <a:ln w="28575" cap="rnd">
              <a:solidFill>
                <a:schemeClr val="accent2"/>
              </a:solidFill>
              <a:round/>
            </a:ln>
            <a:effectLst/>
          </c:spPr>
          <c:marker>
            <c:symbol val="x"/>
            <c:size val="5"/>
            <c:spPr>
              <a:no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'Waiting List 2024'!$B$17:$L$17</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'Waiting List 2024'!$B$19:$L$19</c:f>
              <c:numCache>
                <c:formatCode>#,##0</c:formatCode>
                <c:ptCount val="11"/>
                <c:pt idx="0">
                  <c:v>1233</c:v>
                </c:pt>
                <c:pt idx="1">
                  <c:v>1189</c:v>
                </c:pt>
                <c:pt idx="2">
                  <c:v>1142</c:v>
                </c:pt>
                <c:pt idx="3">
                  <c:v>1268</c:v>
                </c:pt>
                <c:pt idx="4">
                  <c:v>1382</c:v>
                </c:pt>
                <c:pt idx="5">
                  <c:v>1719</c:v>
                </c:pt>
                <c:pt idx="6">
                  <c:v>1946</c:v>
                </c:pt>
                <c:pt idx="7">
                  <c:v>2367</c:v>
                </c:pt>
                <c:pt idx="8">
                  <c:v>2271</c:v>
                </c:pt>
                <c:pt idx="9">
                  <c:v>2311</c:v>
                </c:pt>
                <c:pt idx="10">
                  <c:v>2470</c:v>
                </c:pt>
              </c:numCache>
            </c:numRef>
          </c:val>
          <c:smooth val="0"/>
          <c:extLst>
            <c:ext xmlns:c16="http://schemas.microsoft.com/office/drawing/2014/chart" uri="{C3380CC4-5D6E-409C-BE32-E72D297353CC}">
              <c16:uniqueId val="{00000001-487E-4FFE-835C-21F86354A7A6}"/>
            </c:ext>
          </c:extLst>
        </c:ser>
        <c:ser>
          <c:idx val="2"/>
          <c:order val="2"/>
          <c:tx>
            <c:strRef>
              <c:f>'Waiting List 2024'!$A$20</c:f>
              <c:strCache>
                <c:ptCount val="1"/>
                <c:pt idx="0">
                  <c:v>Allocations </c:v>
                </c:pt>
              </c:strCache>
            </c:strRef>
          </c:tx>
          <c:spPr>
            <a:ln w="28575" cap="rnd">
              <a:solidFill>
                <a:schemeClr val="accent3"/>
              </a:solidFill>
              <a:round/>
            </a:ln>
            <a:effectLst/>
          </c:spPr>
          <c:marker>
            <c:symbol val="x"/>
            <c:size val="5"/>
            <c:spPr>
              <a:noFill/>
              <a:ln w="9525">
                <a:solidFill>
                  <a:schemeClr val="accent3"/>
                </a:solidFill>
              </a:ln>
              <a:effectLst/>
            </c:spPr>
          </c:marker>
          <c:dLbls>
            <c:dLbl>
              <c:idx val="7"/>
              <c:layout>
                <c:manualLayout>
                  <c:x val="-3.6939374018888534E-2"/>
                  <c:y val="3.71055029903240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7E-4FFE-835C-21F86354A7A6}"/>
                </c:ext>
              </c:extLst>
            </c:dLbl>
            <c:dLbl>
              <c:idx val="9"/>
              <c:layout>
                <c:manualLayout>
                  <c:x val="-3.6939374018888534E-2"/>
                  <c:y val="3.7105502990323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7E-4FFE-835C-21F86354A7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'Waiting List 2024'!$B$17:$L$17</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'Waiting List 2024'!$B$20:$L$20</c:f>
              <c:numCache>
                <c:formatCode>#,##0</c:formatCode>
                <c:ptCount val="11"/>
                <c:pt idx="0">
                  <c:v>744</c:v>
                </c:pt>
                <c:pt idx="1">
                  <c:v>708</c:v>
                </c:pt>
                <c:pt idx="2">
                  <c:v>735</c:v>
                </c:pt>
                <c:pt idx="3">
                  <c:v>549</c:v>
                </c:pt>
                <c:pt idx="4">
                  <c:v>556</c:v>
                </c:pt>
                <c:pt idx="5">
                  <c:v>557</c:v>
                </c:pt>
                <c:pt idx="6">
                  <c:v>498</c:v>
                </c:pt>
                <c:pt idx="7">
                  <c:v>419</c:v>
                </c:pt>
                <c:pt idx="8">
                  <c:v>503</c:v>
                </c:pt>
                <c:pt idx="9">
                  <c:v>384</c:v>
                </c:pt>
                <c:pt idx="10">
                  <c:v>481</c:v>
                </c:pt>
              </c:numCache>
            </c:numRef>
          </c:val>
          <c:smooth val="0"/>
          <c:extLst>
            <c:ext xmlns:c16="http://schemas.microsoft.com/office/drawing/2014/chart" uri="{C3380CC4-5D6E-409C-BE32-E72D297353CC}">
              <c16:uniqueId val="{00000004-487E-4FFE-835C-21F86354A7A6}"/>
            </c:ext>
          </c:extLst>
        </c:ser>
        <c:dLbls>
          <c:showLegendKey val="0"/>
          <c:showVal val="0"/>
          <c:showCatName val="0"/>
          <c:showSerName val="0"/>
          <c:showPercent val="0"/>
          <c:showBubbleSize val="0"/>
        </c:dLbls>
        <c:marker val="1"/>
        <c:smooth val="0"/>
        <c:axId val="329173199"/>
        <c:axId val="329175119"/>
      </c:lineChart>
      <c:catAx>
        <c:axId val="32917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175119"/>
        <c:crosses val="autoZero"/>
        <c:auto val="1"/>
        <c:lblAlgn val="ctr"/>
        <c:lblOffset val="100"/>
        <c:noMultiLvlLbl val="0"/>
      </c:catAx>
      <c:valAx>
        <c:axId val="329175119"/>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173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'Waiting List 2024'!$B$13:$G$13</cx:f>
        <cx:lvl ptCount="6">
          <cx:pt idx="0">Single Person</cx:pt>
          <cx:pt idx="1">Small Adult</cx:pt>
          <cx:pt idx="2">Small Family</cx:pt>
          <cx:pt idx="3">Large Adult</cx:pt>
          <cx:pt idx="4">Large Family</cx:pt>
          <cx:pt idx="5">Older Person</cx:pt>
        </cx:lvl>
      </cx:strDim>
      <cx:numDim type="size">
        <cx:f dir="row">'Waiting List 2024'!$B$14:$G$14</cx:f>
        <cx:lvl ptCount="6" formatCode="0.0%">
          <cx:pt idx="0">0.4222672064777328</cx:pt>
          <cx:pt idx="1">0.051417004048582994</cx:pt>
          <cx:pt idx="2">0.2506072874493927</cx:pt>
          <cx:pt idx="3">0.040080971659919029</cx:pt>
          <cx:pt idx="4">0.092307692307692313</cx:pt>
          <cx:pt idx="5">0.14331983805668017</cx:pt>
        </cx:lvl>
      </cx:numDim>
    </cx:data>
  </cx:chartData>
  <cx:chart>
    <cx:title pos="t" align="ctr" overlay="0">
      <cx:tx>
        <cx:txData>
          <cx:v>Applicants in Housing Stress </cx:v>
        </cx:txData>
      </cx:tx>
      <cx:txPr>
        <a:bodyPr spcFirstLastPara="1" vertOverflow="ellipsis" horzOverflow="overflow" wrap="square" lIns="0" tIns="0" rIns="0" bIns="0" anchor="ctr" anchorCtr="1"/>
        <a:lstStyle/>
        <a:p>
          <a:pPr algn="ctr" rtl="0">
            <a:defRPr/>
          </a:pPr>
          <a:r>
            <a:rPr lang="en-GB" sz="1400" b="0" i="0" u="none" strike="noStrike" baseline="0">
              <a:solidFill>
                <a:sysClr val="windowText" lastClr="000000">
                  <a:lumMod val="65000"/>
                  <a:lumOff val="35000"/>
                </a:sysClr>
              </a:solidFill>
              <a:latin typeface="Calibri" panose="020F0502020204030204"/>
            </a:rPr>
            <a:t>Applicants in Housing Stress </a:t>
          </a:r>
        </a:p>
      </cx:txPr>
    </cx:title>
    <cx:plotArea>
      <cx:plotAreaRegion>
        <cx:series layoutId="treemap" uniqueId="{7DA7BD7D-D5F0-4249-95D7-AC53BF1828D4}">
          <cx:tx>
            <cx:txData>
              <cx:f>'Waiting List 2024'!$A$14</cx:f>
              <cx:v>% of Applicants in Housing Stress</cx:v>
            </cx:txData>
          </cx:tx>
          <cx:dataLabels pos="inEnd">
            <cx:visibility seriesName="0" categoryName="1" value="1"/>
            <cx:separator>, </cx:separator>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BE63-DA7F-4FFA-B9EC-32557E67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5</cp:revision>
  <cp:lastPrinted>2022-04-05T13:47:00Z</cp:lastPrinted>
  <dcterms:created xsi:type="dcterms:W3CDTF">2024-10-07T12:05:00Z</dcterms:created>
  <dcterms:modified xsi:type="dcterms:W3CDTF">2024-10-11T12:04:00Z</dcterms:modified>
</cp:coreProperties>
</file>