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E5861" w14:textId="77777777" w:rsidR="00163756" w:rsidRDefault="00FD1406" w:rsidP="00163756">
      <w:pPr>
        <w:rPr>
          <w:b/>
        </w:rPr>
      </w:pPr>
      <w:r>
        <w:rPr>
          <w:b/>
        </w:rPr>
        <w:t>Town Centre Vacancy Rates</w:t>
      </w:r>
    </w:p>
    <w:p w14:paraId="3A217215" w14:textId="77777777" w:rsidR="00163756" w:rsidRDefault="00FD1406" w:rsidP="00163756">
      <w:r>
        <w:t>Vacancy rates for non-domestic properties are available for the five main city / town centres in the borough (Armagh, Banbridge, Craigavon, Lurgan and Portadown) and Dromore from the Town Centre Database (using data from Land and Property Services) produced by the Department for Communities.</w:t>
      </w:r>
      <w:r w:rsidR="004239CA">
        <w:t xml:space="preserve"> A property refers to a hereditament which is subject to rates and not individual buildings.</w:t>
      </w:r>
    </w:p>
    <w:p w14:paraId="3022583C" w14:textId="5FBD117A" w:rsidR="008F7B50" w:rsidRDefault="00936C9E" w:rsidP="00163756">
      <w:r w:rsidRPr="00EB4ADC">
        <w:t xml:space="preserve">As </w:t>
      </w:r>
      <w:proofErr w:type="gramStart"/>
      <w:r w:rsidRPr="00EB4ADC">
        <w:t>at</w:t>
      </w:r>
      <w:proofErr w:type="gramEnd"/>
      <w:r w:rsidRPr="00EB4ADC">
        <w:t xml:space="preserve"> </w:t>
      </w:r>
      <w:r w:rsidR="00354B28">
        <w:t>30</w:t>
      </w:r>
      <w:r w:rsidR="00354B28" w:rsidRPr="00354B28">
        <w:rPr>
          <w:vertAlign w:val="superscript"/>
        </w:rPr>
        <w:t>th</w:t>
      </w:r>
      <w:r w:rsidR="00354B28">
        <w:t xml:space="preserve"> April 2024</w:t>
      </w:r>
      <w:r w:rsidR="00FD1406" w:rsidRPr="00EB4ADC">
        <w:t xml:space="preserve">, vacancy rates in the </w:t>
      </w:r>
      <w:r w:rsidRPr="00EB4ADC">
        <w:t xml:space="preserve">borough varied from </w:t>
      </w:r>
      <w:r w:rsidR="00354B28">
        <w:t>7.9</w:t>
      </w:r>
      <w:r w:rsidRPr="00EB4ADC">
        <w:t xml:space="preserve">% in Craigavon to </w:t>
      </w:r>
      <w:r w:rsidR="00354B28">
        <w:t>24.4</w:t>
      </w:r>
      <w:r w:rsidR="00FD1406" w:rsidRPr="00EB4ADC">
        <w:t xml:space="preserve">% in Dromore. </w:t>
      </w:r>
      <w:r w:rsidR="00D71F6B" w:rsidRPr="00EB4ADC">
        <w:t xml:space="preserve"> </w:t>
      </w:r>
      <w:r w:rsidR="00FD1406" w:rsidRPr="00EB4ADC">
        <w:t>This compares to a Northern Irela</w:t>
      </w:r>
      <w:r w:rsidRPr="00EB4ADC">
        <w:t xml:space="preserve">nd average vacancy level of </w:t>
      </w:r>
      <w:r w:rsidR="00EB4ADC" w:rsidRPr="00EB4ADC">
        <w:t>22.</w:t>
      </w:r>
      <w:r w:rsidR="00354B28">
        <w:t>4</w:t>
      </w:r>
      <w:r w:rsidR="00FD1406" w:rsidRPr="00EB4ADC">
        <w:t>%.</w:t>
      </w:r>
    </w:p>
    <w:tbl>
      <w:tblPr>
        <w:tblStyle w:val="GridTable1Light"/>
        <w:tblW w:w="8020" w:type="dxa"/>
        <w:tblLook w:val="04A0" w:firstRow="1" w:lastRow="0" w:firstColumn="1" w:lastColumn="0" w:noHBand="0" w:noVBand="1"/>
      </w:tblPr>
      <w:tblGrid>
        <w:gridCol w:w="1780"/>
        <w:gridCol w:w="2080"/>
        <w:gridCol w:w="2080"/>
        <w:gridCol w:w="2080"/>
      </w:tblGrid>
      <w:tr w:rsidR="00354B28" w:rsidRPr="00354B28" w14:paraId="12EAF16E" w14:textId="77777777" w:rsidTr="00354B2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80" w:type="dxa"/>
            <w:noWrap/>
            <w:hideMark/>
          </w:tcPr>
          <w:p w14:paraId="6D18CF67" w14:textId="77777777" w:rsidR="00354B28" w:rsidRPr="00354B28" w:rsidRDefault="00354B28" w:rsidP="00354B28">
            <w:pPr>
              <w:rPr>
                <w:rFonts w:ascii="Calibri" w:eastAsia="Times New Roman" w:hAnsi="Calibri" w:cs="Calibri"/>
                <w:color w:val="000000"/>
                <w:lang w:eastAsia="en-GB"/>
              </w:rPr>
            </w:pPr>
            <w:r w:rsidRPr="00354B28">
              <w:rPr>
                <w:rFonts w:ascii="Calibri" w:eastAsia="Times New Roman" w:hAnsi="Calibri" w:cs="Calibri"/>
                <w:color w:val="000000"/>
                <w:lang w:eastAsia="en-GB"/>
              </w:rPr>
              <w:t> </w:t>
            </w:r>
          </w:p>
        </w:tc>
        <w:tc>
          <w:tcPr>
            <w:tcW w:w="6240" w:type="dxa"/>
            <w:gridSpan w:val="3"/>
            <w:noWrap/>
            <w:hideMark/>
          </w:tcPr>
          <w:p w14:paraId="6BD985B2" w14:textId="77777777" w:rsidR="00354B28" w:rsidRPr="00354B28" w:rsidRDefault="00354B28" w:rsidP="00354B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54B28">
              <w:rPr>
                <w:rFonts w:ascii="Calibri" w:eastAsia="Times New Roman" w:hAnsi="Calibri" w:cs="Calibri"/>
                <w:color w:val="000000"/>
                <w:lang w:eastAsia="en-GB"/>
              </w:rPr>
              <w:t>30th April 2024</w:t>
            </w:r>
          </w:p>
        </w:tc>
      </w:tr>
      <w:tr w:rsidR="00354B28" w:rsidRPr="00354B28" w14:paraId="728D786D" w14:textId="77777777" w:rsidTr="00354B28">
        <w:trPr>
          <w:trHeight w:val="576"/>
        </w:trPr>
        <w:tc>
          <w:tcPr>
            <w:cnfStyle w:val="001000000000" w:firstRow="0" w:lastRow="0" w:firstColumn="1" w:lastColumn="0" w:oddVBand="0" w:evenVBand="0" w:oddHBand="0" w:evenHBand="0" w:firstRowFirstColumn="0" w:firstRowLastColumn="0" w:lastRowFirstColumn="0" w:lastRowLastColumn="0"/>
            <w:tcW w:w="1780" w:type="dxa"/>
            <w:noWrap/>
            <w:hideMark/>
          </w:tcPr>
          <w:p w14:paraId="5A3CD4DD" w14:textId="77777777" w:rsidR="00354B28" w:rsidRPr="00354B28" w:rsidRDefault="00354B28" w:rsidP="00354B28">
            <w:pPr>
              <w:rPr>
                <w:rFonts w:ascii="Calibri" w:eastAsia="Times New Roman" w:hAnsi="Calibri" w:cs="Calibri"/>
                <w:color w:val="000000"/>
                <w:lang w:eastAsia="en-GB"/>
              </w:rPr>
            </w:pPr>
            <w:r w:rsidRPr="00354B28">
              <w:rPr>
                <w:rFonts w:ascii="Calibri" w:eastAsia="Times New Roman" w:hAnsi="Calibri" w:cs="Calibri"/>
                <w:color w:val="000000"/>
                <w:lang w:eastAsia="en-GB"/>
              </w:rPr>
              <w:t> </w:t>
            </w:r>
          </w:p>
        </w:tc>
        <w:tc>
          <w:tcPr>
            <w:tcW w:w="2080" w:type="dxa"/>
            <w:hideMark/>
          </w:tcPr>
          <w:p w14:paraId="6ABEFC32" w14:textId="77777777" w:rsidR="00354B28" w:rsidRPr="00354B28" w:rsidRDefault="00354B28" w:rsidP="00354B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354B28">
              <w:rPr>
                <w:rFonts w:ascii="Calibri" w:eastAsia="Times New Roman" w:hAnsi="Calibri" w:cs="Calibri"/>
                <w:b/>
                <w:bCs/>
                <w:color w:val="000000"/>
                <w:lang w:eastAsia="en-GB"/>
              </w:rPr>
              <w:t>No. of Properties</w:t>
            </w:r>
          </w:p>
        </w:tc>
        <w:tc>
          <w:tcPr>
            <w:tcW w:w="2080" w:type="dxa"/>
            <w:hideMark/>
          </w:tcPr>
          <w:p w14:paraId="3BDE092B" w14:textId="77777777" w:rsidR="00354B28" w:rsidRPr="00354B28" w:rsidRDefault="00354B28" w:rsidP="00354B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354B28">
              <w:rPr>
                <w:rFonts w:ascii="Calibri" w:eastAsia="Times New Roman" w:hAnsi="Calibri" w:cs="Calibri"/>
                <w:b/>
                <w:bCs/>
                <w:color w:val="000000"/>
                <w:lang w:eastAsia="en-GB"/>
              </w:rPr>
              <w:t>No. of Vacant Properties</w:t>
            </w:r>
          </w:p>
        </w:tc>
        <w:tc>
          <w:tcPr>
            <w:tcW w:w="2080" w:type="dxa"/>
            <w:hideMark/>
          </w:tcPr>
          <w:p w14:paraId="50128BE4" w14:textId="77777777" w:rsidR="00354B28" w:rsidRPr="00354B28" w:rsidRDefault="00354B28" w:rsidP="00354B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354B28">
              <w:rPr>
                <w:rFonts w:ascii="Calibri" w:eastAsia="Times New Roman" w:hAnsi="Calibri" w:cs="Calibri"/>
                <w:b/>
                <w:bCs/>
                <w:color w:val="000000"/>
                <w:lang w:eastAsia="en-GB"/>
              </w:rPr>
              <w:t>% of Vacant Properties</w:t>
            </w:r>
          </w:p>
        </w:tc>
      </w:tr>
      <w:tr w:rsidR="00354B28" w:rsidRPr="00354B28" w14:paraId="545F3A59" w14:textId="77777777" w:rsidTr="00354B28">
        <w:trPr>
          <w:trHeight w:val="288"/>
        </w:trPr>
        <w:tc>
          <w:tcPr>
            <w:cnfStyle w:val="001000000000" w:firstRow="0" w:lastRow="0" w:firstColumn="1" w:lastColumn="0" w:oddVBand="0" w:evenVBand="0" w:oddHBand="0" w:evenHBand="0" w:firstRowFirstColumn="0" w:firstRowLastColumn="0" w:lastRowFirstColumn="0" w:lastRowLastColumn="0"/>
            <w:tcW w:w="1780" w:type="dxa"/>
            <w:noWrap/>
            <w:hideMark/>
          </w:tcPr>
          <w:p w14:paraId="3851DC31" w14:textId="77777777" w:rsidR="00354B28" w:rsidRPr="00354B28" w:rsidRDefault="00354B28" w:rsidP="00354B28">
            <w:pPr>
              <w:rPr>
                <w:rFonts w:ascii="Calibri" w:eastAsia="Times New Roman" w:hAnsi="Calibri" w:cs="Calibri"/>
                <w:color w:val="000000"/>
                <w:lang w:eastAsia="en-GB"/>
              </w:rPr>
            </w:pPr>
            <w:r w:rsidRPr="00354B28">
              <w:rPr>
                <w:rFonts w:ascii="Calibri" w:eastAsia="Times New Roman" w:hAnsi="Calibri" w:cs="Calibri"/>
                <w:color w:val="000000"/>
                <w:lang w:eastAsia="en-GB"/>
              </w:rPr>
              <w:t>Armagh</w:t>
            </w:r>
          </w:p>
        </w:tc>
        <w:tc>
          <w:tcPr>
            <w:tcW w:w="2080" w:type="dxa"/>
            <w:noWrap/>
            <w:hideMark/>
          </w:tcPr>
          <w:p w14:paraId="37792189" w14:textId="77777777" w:rsidR="00354B28" w:rsidRPr="00354B28" w:rsidRDefault="00354B28" w:rsidP="00354B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54B28">
              <w:rPr>
                <w:rFonts w:ascii="Calibri" w:eastAsia="Times New Roman" w:hAnsi="Calibri" w:cs="Calibri"/>
                <w:lang w:eastAsia="en-GB"/>
              </w:rPr>
              <w:t>731</w:t>
            </w:r>
          </w:p>
        </w:tc>
        <w:tc>
          <w:tcPr>
            <w:tcW w:w="2080" w:type="dxa"/>
            <w:noWrap/>
            <w:hideMark/>
          </w:tcPr>
          <w:p w14:paraId="3D086787" w14:textId="77777777" w:rsidR="00354B28" w:rsidRPr="00354B28" w:rsidRDefault="00354B28" w:rsidP="00354B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54B28">
              <w:rPr>
                <w:rFonts w:ascii="Calibri" w:eastAsia="Times New Roman" w:hAnsi="Calibri" w:cs="Calibri"/>
                <w:lang w:eastAsia="en-GB"/>
              </w:rPr>
              <w:t>120</w:t>
            </w:r>
          </w:p>
        </w:tc>
        <w:tc>
          <w:tcPr>
            <w:tcW w:w="2080" w:type="dxa"/>
            <w:noWrap/>
            <w:hideMark/>
          </w:tcPr>
          <w:p w14:paraId="067868F5" w14:textId="77777777" w:rsidR="00354B28" w:rsidRPr="00354B28" w:rsidRDefault="00354B28" w:rsidP="00354B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lang w:eastAsia="en-GB"/>
              </w:rPr>
            </w:pPr>
            <w:r w:rsidRPr="00354B28">
              <w:rPr>
                <w:rFonts w:ascii="Calibri" w:eastAsia="Times New Roman" w:hAnsi="Calibri" w:cs="Calibri"/>
                <w:i/>
                <w:iCs/>
                <w:lang w:eastAsia="en-GB"/>
              </w:rPr>
              <w:t>16.4%</w:t>
            </w:r>
          </w:p>
        </w:tc>
      </w:tr>
      <w:tr w:rsidR="00354B28" w:rsidRPr="00354B28" w14:paraId="1F1B760E" w14:textId="77777777" w:rsidTr="00354B28">
        <w:trPr>
          <w:trHeight w:val="288"/>
        </w:trPr>
        <w:tc>
          <w:tcPr>
            <w:cnfStyle w:val="001000000000" w:firstRow="0" w:lastRow="0" w:firstColumn="1" w:lastColumn="0" w:oddVBand="0" w:evenVBand="0" w:oddHBand="0" w:evenHBand="0" w:firstRowFirstColumn="0" w:firstRowLastColumn="0" w:lastRowFirstColumn="0" w:lastRowLastColumn="0"/>
            <w:tcW w:w="1780" w:type="dxa"/>
            <w:noWrap/>
            <w:hideMark/>
          </w:tcPr>
          <w:p w14:paraId="644E3CC6" w14:textId="77777777" w:rsidR="00354B28" w:rsidRPr="00354B28" w:rsidRDefault="00354B28" w:rsidP="00354B28">
            <w:pPr>
              <w:rPr>
                <w:rFonts w:ascii="Calibri" w:eastAsia="Times New Roman" w:hAnsi="Calibri" w:cs="Calibri"/>
                <w:color w:val="000000"/>
                <w:lang w:eastAsia="en-GB"/>
              </w:rPr>
            </w:pPr>
            <w:r w:rsidRPr="00354B28">
              <w:rPr>
                <w:rFonts w:ascii="Calibri" w:eastAsia="Times New Roman" w:hAnsi="Calibri" w:cs="Calibri"/>
                <w:color w:val="000000"/>
                <w:lang w:eastAsia="en-GB"/>
              </w:rPr>
              <w:t>Banbridge</w:t>
            </w:r>
          </w:p>
        </w:tc>
        <w:tc>
          <w:tcPr>
            <w:tcW w:w="2080" w:type="dxa"/>
            <w:noWrap/>
            <w:hideMark/>
          </w:tcPr>
          <w:p w14:paraId="287E6CF8" w14:textId="77777777" w:rsidR="00354B28" w:rsidRPr="00354B28" w:rsidRDefault="00354B28" w:rsidP="00354B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54B28">
              <w:rPr>
                <w:rFonts w:ascii="Calibri" w:eastAsia="Times New Roman" w:hAnsi="Calibri" w:cs="Calibri"/>
                <w:lang w:eastAsia="en-GB"/>
              </w:rPr>
              <w:t>434</w:t>
            </w:r>
          </w:p>
        </w:tc>
        <w:tc>
          <w:tcPr>
            <w:tcW w:w="2080" w:type="dxa"/>
            <w:noWrap/>
            <w:hideMark/>
          </w:tcPr>
          <w:p w14:paraId="1527354C" w14:textId="77777777" w:rsidR="00354B28" w:rsidRPr="00354B28" w:rsidRDefault="00354B28" w:rsidP="00354B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54B28">
              <w:rPr>
                <w:rFonts w:ascii="Calibri" w:eastAsia="Times New Roman" w:hAnsi="Calibri" w:cs="Calibri"/>
                <w:lang w:eastAsia="en-GB"/>
              </w:rPr>
              <w:t>71</w:t>
            </w:r>
          </w:p>
        </w:tc>
        <w:tc>
          <w:tcPr>
            <w:tcW w:w="2080" w:type="dxa"/>
            <w:noWrap/>
            <w:hideMark/>
          </w:tcPr>
          <w:p w14:paraId="1C3457DD" w14:textId="77777777" w:rsidR="00354B28" w:rsidRPr="00354B28" w:rsidRDefault="00354B28" w:rsidP="00354B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lang w:eastAsia="en-GB"/>
              </w:rPr>
            </w:pPr>
            <w:r w:rsidRPr="00354B28">
              <w:rPr>
                <w:rFonts w:ascii="Calibri" w:eastAsia="Times New Roman" w:hAnsi="Calibri" w:cs="Calibri"/>
                <w:i/>
                <w:iCs/>
                <w:lang w:eastAsia="en-GB"/>
              </w:rPr>
              <w:t>16.4%</w:t>
            </w:r>
          </w:p>
        </w:tc>
      </w:tr>
      <w:tr w:rsidR="00354B28" w:rsidRPr="00354B28" w14:paraId="3CF7ABD2" w14:textId="77777777" w:rsidTr="00354B28">
        <w:trPr>
          <w:trHeight w:val="288"/>
        </w:trPr>
        <w:tc>
          <w:tcPr>
            <w:cnfStyle w:val="001000000000" w:firstRow="0" w:lastRow="0" w:firstColumn="1" w:lastColumn="0" w:oddVBand="0" w:evenVBand="0" w:oddHBand="0" w:evenHBand="0" w:firstRowFirstColumn="0" w:firstRowLastColumn="0" w:lastRowFirstColumn="0" w:lastRowLastColumn="0"/>
            <w:tcW w:w="1780" w:type="dxa"/>
            <w:noWrap/>
            <w:hideMark/>
          </w:tcPr>
          <w:p w14:paraId="7B8CB679" w14:textId="77777777" w:rsidR="00354B28" w:rsidRPr="00354B28" w:rsidRDefault="00354B28" w:rsidP="00354B28">
            <w:pPr>
              <w:rPr>
                <w:rFonts w:ascii="Calibri" w:eastAsia="Times New Roman" w:hAnsi="Calibri" w:cs="Calibri"/>
                <w:color w:val="000000"/>
                <w:lang w:eastAsia="en-GB"/>
              </w:rPr>
            </w:pPr>
            <w:r w:rsidRPr="00354B28">
              <w:rPr>
                <w:rFonts w:ascii="Calibri" w:eastAsia="Times New Roman" w:hAnsi="Calibri" w:cs="Calibri"/>
                <w:color w:val="000000"/>
                <w:lang w:eastAsia="en-GB"/>
              </w:rPr>
              <w:t>Craigavon</w:t>
            </w:r>
          </w:p>
        </w:tc>
        <w:tc>
          <w:tcPr>
            <w:tcW w:w="2080" w:type="dxa"/>
            <w:noWrap/>
            <w:hideMark/>
          </w:tcPr>
          <w:p w14:paraId="6041336B" w14:textId="77777777" w:rsidR="00354B28" w:rsidRPr="00354B28" w:rsidRDefault="00354B28" w:rsidP="00354B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54B28">
              <w:rPr>
                <w:rFonts w:ascii="Calibri" w:eastAsia="Times New Roman" w:hAnsi="Calibri" w:cs="Calibri"/>
                <w:lang w:eastAsia="en-GB"/>
              </w:rPr>
              <w:t>101</w:t>
            </w:r>
          </w:p>
        </w:tc>
        <w:tc>
          <w:tcPr>
            <w:tcW w:w="2080" w:type="dxa"/>
            <w:noWrap/>
            <w:hideMark/>
          </w:tcPr>
          <w:p w14:paraId="405E8CA1" w14:textId="77777777" w:rsidR="00354B28" w:rsidRPr="00354B28" w:rsidRDefault="00354B28" w:rsidP="00354B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54B28">
              <w:rPr>
                <w:rFonts w:ascii="Calibri" w:eastAsia="Times New Roman" w:hAnsi="Calibri" w:cs="Calibri"/>
                <w:lang w:eastAsia="en-GB"/>
              </w:rPr>
              <w:t>8</w:t>
            </w:r>
          </w:p>
        </w:tc>
        <w:tc>
          <w:tcPr>
            <w:tcW w:w="2080" w:type="dxa"/>
            <w:noWrap/>
            <w:hideMark/>
          </w:tcPr>
          <w:p w14:paraId="0645C087" w14:textId="77777777" w:rsidR="00354B28" w:rsidRPr="00354B28" w:rsidRDefault="00354B28" w:rsidP="00354B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lang w:eastAsia="en-GB"/>
              </w:rPr>
            </w:pPr>
            <w:r w:rsidRPr="00354B28">
              <w:rPr>
                <w:rFonts w:ascii="Calibri" w:eastAsia="Times New Roman" w:hAnsi="Calibri" w:cs="Calibri"/>
                <w:i/>
                <w:iCs/>
                <w:lang w:eastAsia="en-GB"/>
              </w:rPr>
              <w:t>7.9%</w:t>
            </w:r>
          </w:p>
        </w:tc>
      </w:tr>
      <w:tr w:rsidR="00354B28" w:rsidRPr="00354B28" w14:paraId="67D6C980" w14:textId="77777777" w:rsidTr="00354B28">
        <w:trPr>
          <w:trHeight w:val="288"/>
        </w:trPr>
        <w:tc>
          <w:tcPr>
            <w:cnfStyle w:val="001000000000" w:firstRow="0" w:lastRow="0" w:firstColumn="1" w:lastColumn="0" w:oddVBand="0" w:evenVBand="0" w:oddHBand="0" w:evenHBand="0" w:firstRowFirstColumn="0" w:firstRowLastColumn="0" w:lastRowFirstColumn="0" w:lastRowLastColumn="0"/>
            <w:tcW w:w="1780" w:type="dxa"/>
            <w:noWrap/>
            <w:hideMark/>
          </w:tcPr>
          <w:p w14:paraId="04877AA6" w14:textId="77777777" w:rsidR="00354B28" w:rsidRPr="00354B28" w:rsidRDefault="00354B28" w:rsidP="00354B28">
            <w:pPr>
              <w:rPr>
                <w:rFonts w:ascii="Calibri" w:eastAsia="Times New Roman" w:hAnsi="Calibri" w:cs="Calibri"/>
                <w:color w:val="000000"/>
                <w:lang w:eastAsia="en-GB"/>
              </w:rPr>
            </w:pPr>
            <w:r w:rsidRPr="00354B28">
              <w:rPr>
                <w:rFonts w:ascii="Calibri" w:eastAsia="Times New Roman" w:hAnsi="Calibri" w:cs="Calibri"/>
                <w:color w:val="000000"/>
                <w:lang w:eastAsia="en-GB"/>
              </w:rPr>
              <w:t>Dromore</w:t>
            </w:r>
          </w:p>
        </w:tc>
        <w:tc>
          <w:tcPr>
            <w:tcW w:w="2080" w:type="dxa"/>
            <w:noWrap/>
            <w:hideMark/>
          </w:tcPr>
          <w:p w14:paraId="5C78E03C" w14:textId="77777777" w:rsidR="00354B28" w:rsidRPr="00354B28" w:rsidRDefault="00354B28" w:rsidP="00354B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54B28">
              <w:rPr>
                <w:rFonts w:ascii="Calibri" w:eastAsia="Times New Roman" w:hAnsi="Calibri" w:cs="Calibri"/>
                <w:lang w:eastAsia="en-GB"/>
              </w:rPr>
              <w:t>127</w:t>
            </w:r>
          </w:p>
        </w:tc>
        <w:tc>
          <w:tcPr>
            <w:tcW w:w="2080" w:type="dxa"/>
            <w:noWrap/>
            <w:hideMark/>
          </w:tcPr>
          <w:p w14:paraId="243F44E6" w14:textId="77777777" w:rsidR="00354B28" w:rsidRPr="00354B28" w:rsidRDefault="00354B28" w:rsidP="00354B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54B28">
              <w:rPr>
                <w:rFonts w:ascii="Calibri" w:eastAsia="Times New Roman" w:hAnsi="Calibri" w:cs="Calibri"/>
                <w:lang w:eastAsia="en-GB"/>
              </w:rPr>
              <w:t>31</w:t>
            </w:r>
          </w:p>
        </w:tc>
        <w:tc>
          <w:tcPr>
            <w:tcW w:w="2080" w:type="dxa"/>
            <w:noWrap/>
            <w:hideMark/>
          </w:tcPr>
          <w:p w14:paraId="2A4302FF" w14:textId="77777777" w:rsidR="00354B28" w:rsidRPr="00354B28" w:rsidRDefault="00354B28" w:rsidP="00354B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lang w:eastAsia="en-GB"/>
              </w:rPr>
            </w:pPr>
            <w:r w:rsidRPr="00354B28">
              <w:rPr>
                <w:rFonts w:ascii="Calibri" w:eastAsia="Times New Roman" w:hAnsi="Calibri" w:cs="Calibri"/>
                <w:i/>
                <w:iCs/>
                <w:lang w:eastAsia="en-GB"/>
              </w:rPr>
              <w:t>24.4%</w:t>
            </w:r>
          </w:p>
        </w:tc>
      </w:tr>
      <w:tr w:rsidR="00354B28" w:rsidRPr="00354B28" w14:paraId="27A19A2B" w14:textId="77777777" w:rsidTr="00354B28">
        <w:trPr>
          <w:trHeight w:val="288"/>
        </w:trPr>
        <w:tc>
          <w:tcPr>
            <w:cnfStyle w:val="001000000000" w:firstRow="0" w:lastRow="0" w:firstColumn="1" w:lastColumn="0" w:oddVBand="0" w:evenVBand="0" w:oddHBand="0" w:evenHBand="0" w:firstRowFirstColumn="0" w:firstRowLastColumn="0" w:lastRowFirstColumn="0" w:lastRowLastColumn="0"/>
            <w:tcW w:w="1780" w:type="dxa"/>
            <w:noWrap/>
            <w:hideMark/>
          </w:tcPr>
          <w:p w14:paraId="35FD1DAD" w14:textId="77777777" w:rsidR="00354B28" w:rsidRPr="00354B28" w:rsidRDefault="00354B28" w:rsidP="00354B28">
            <w:pPr>
              <w:rPr>
                <w:rFonts w:ascii="Calibri" w:eastAsia="Times New Roman" w:hAnsi="Calibri" w:cs="Calibri"/>
                <w:color w:val="000000"/>
                <w:lang w:eastAsia="en-GB"/>
              </w:rPr>
            </w:pPr>
            <w:r w:rsidRPr="00354B28">
              <w:rPr>
                <w:rFonts w:ascii="Calibri" w:eastAsia="Times New Roman" w:hAnsi="Calibri" w:cs="Calibri"/>
                <w:color w:val="000000"/>
                <w:lang w:eastAsia="en-GB"/>
              </w:rPr>
              <w:t>Lurgan</w:t>
            </w:r>
          </w:p>
        </w:tc>
        <w:tc>
          <w:tcPr>
            <w:tcW w:w="2080" w:type="dxa"/>
            <w:noWrap/>
            <w:hideMark/>
          </w:tcPr>
          <w:p w14:paraId="4A683815" w14:textId="77777777" w:rsidR="00354B28" w:rsidRPr="00354B28" w:rsidRDefault="00354B28" w:rsidP="00354B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54B28">
              <w:rPr>
                <w:rFonts w:ascii="Calibri" w:eastAsia="Times New Roman" w:hAnsi="Calibri" w:cs="Calibri"/>
                <w:lang w:eastAsia="en-GB"/>
              </w:rPr>
              <w:t>502</w:t>
            </w:r>
          </w:p>
        </w:tc>
        <w:tc>
          <w:tcPr>
            <w:tcW w:w="2080" w:type="dxa"/>
            <w:noWrap/>
            <w:hideMark/>
          </w:tcPr>
          <w:p w14:paraId="1B3C6D59" w14:textId="77777777" w:rsidR="00354B28" w:rsidRPr="00354B28" w:rsidRDefault="00354B28" w:rsidP="00354B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54B28">
              <w:rPr>
                <w:rFonts w:ascii="Calibri" w:eastAsia="Times New Roman" w:hAnsi="Calibri" w:cs="Calibri"/>
                <w:lang w:eastAsia="en-GB"/>
              </w:rPr>
              <w:t>106</w:t>
            </w:r>
          </w:p>
        </w:tc>
        <w:tc>
          <w:tcPr>
            <w:tcW w:w="2080" w:type="dxa"/>
            <w:noWrap/>
            <w:hideMark/>
          </w:tcPr>
          <w:p w14:paraId="783BC280" w14:textId="77777777" w:rsidR="00354B28" w:rsidRPr="00354B28" w:rsidRDefault="00354B28" w:rsidP="00354B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lang w:eastAsia="en-GB"/>
              </w:rPr>
            </w:pPr>
            <w:r w:rsidRPr="00354B28">
              <w:rPr>
                <w:rFonts w:ascii="Calibri" w:eastAsia="Times New Roman" w:hAnsi="Calibri" w:cs="Calibri"/>
                <w:i/>
                <w:iCs/>
                <w:lang w:eastAsia="en-GB"/>
              </w:rPr>
              <w:t>21.1%</w:t>
            </w:r>
          </w:p>
        </w:tc>
      </w:tr>
      <w:tr w:rsidR="00354B28" w:rsidRPr="00354B28" w14:paraId="4D63772A" w14:textId="77777777" w:rsidTr="00354B28">
        <w:trPr>
          <w:trHeight w:val="288"/>
        </w:trPr>
        <w:tc>
          <w:tcPr>
            <w:cnfStyle w:val="001000000000" w:firstRow="0" w:lastRow="0" w:firstColumn="1" w:lastColumn="0" w:oddVBand="0" w:evenVBand="0" w:oddHBand="0" w:evenHBand="0" w:firstRowFirstColumn="0" w:firstRowLastColumn="0" w:lastRowFirstColumn="0" w:lastRowLastColumn="0"/>
            <w:tcW w:w="1780" w:type="dxa"/>
            <w:noWrap/>
            <w:hideMark/>
          </w:tcPr>
          <w:p w14:paraId="7DA42C39" w14:textId="77777777" w:rsidR="00354B28" w:rsidRPr="00354B28" w:rsidRDefault="00354B28" w:rsidP="00354B28">
            <w:pPr>
              <w:rPr>
                <w:rFonts w:ascii="Calibri" w:eastAsia="Times New Roman" w:hAnsi="Calibri" w:cs="Calibri"/>
                <w:color w:val="000000"/>
                <w:lang w:eastAsia="en-GB"/>
              </w:rPr>
            </w:pPr>
            <w:r w:rsidRPr="00354B28">
              <w:rPr>
                <w:rFonts w:ascii="Calibri" w:eastAsia="Times New Roman" w:hAnsi="Calibri" w:cs="Calibri"/>
                <w:color w:val="000000"/>
                <w:lang w:eastAsia="en-GB"/>
              </w:rPr>
              <w:t>Portadown</w:t>
            </w:r>
          </w:p>
        </w:tc>
        <w:tc>
          <w:tcPr>
            <w:tcW w:w="2080" w:type="dxa"/>
            <w:noWrap/>
            <w:hideMark/>
          </w:tcPr>
          <w:p w14:paraId="1E418749" w14:textId="77777777" w:rsidR="00354B28" w:rsidRPr="00354B28" w:rsidRDefault="00354B28" w:rsidP="00354B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54B28">
              <w:rPr>
                <w:rFonts w:ascii="Calibri" w:eastAsia="Times New Roman" w:hAnsi="Calibri" w:cs="Calibri"/>
                <w:lang w:eastAsia="en-GB"/>
              </w:rPr>
              <w:t>685</w:t>
            </w:r>
          </w:p>
        </w:tc>
        <w:tc>
          <w:tcPr>
            <w:tcW w:w="2080" w:type="dxa"/>
            <w:noWrap/>
            <w:hideMark/>
          </w:tcPr>
          <w:p w14:paraId="52EFC9AB" w14:textId="77777777" w:rsidR="00354B28" w:rsidRPr="00354B28" w:rsidRDefault="00354B28" w:rsidP="00354B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54B28">
              <w:rPr>
                <w:rFonts w:ascii="Calibri" w:eastAsia="Times New Roman" w:hAnsi="Calibri" w:cs="Calibri"/>
                <w:lang w:eastAsia="en-GB"/>
              </w:rPr>
              <w:t>144</w:t>
            </w:r>
          </w:p>
        </w:tc>
        <w:tc>
          <w:tcPr>
            <w:tcW w:w="2080" w:type="dxa"/>
            <w:noWrap/>
            <w:hideMark/>
          </w:tcPr>
          <w:p w14:paraId="54189045" w14:textId="77777777" w:rsidR="00354B28" w:rsidRPr="00354B28" w:rsidRDefault="00354B28" w:rsidP="00354B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lang w:eastAsia="en-GB"/>
              </w:rPr>
            </w:pPr>
            <w:r w:rsidRPr="00354B28">
              <w:rPr>
                <w:rFonts w:ascii="Calibri" w:eastAsia="Times New Roman" w:hAnsi="Calibri" w:cs="Calibri"/>
                <w:i/>
                <w:iCs/>
                <w:lang w:eastAsia="en-GB"/>
              </w:rPr>
              <w:t>21.0%</w:t>
            </w:r>
          </w:p>
        </w:tc>
      </w:tr>
      <w:tr w:rsidR="00354B28" w:rsidRPr="00354B28" w14:paraId="452D1BD7" w14:textId="77777777" w:rsidTr="00354B28">
        <w:trPr>
          <w:trHeight w:val="288"/>
        </w:trPr>
        <w:tc>
          <w:tcPr>
            <w:cnfStyle w:val="001000000000" w:firstRow="0" w:lastRow="0" w:firstColumn="1" w:lastColumn="0" w:oddVBand="0" w:evenVBand="0" w:oddHBand="0" w:evenHBand="0" w:firstRowFirstColumn="0" w:firstRowLastColumn="0" w:lastRowFirstColumn="0" w:lastRowLastColumn="0"/>
            <w:tcW w:w="1780" w:type="dxa"/>
            <w:noWrap/>
            <w:hideMark/>
          </w:tcPr>
          <w:p w14:paraId="7BDF66C3" w14:textId="77777777" w:rsidR="00354B28" w:rsidRPr="00354B28" w:rsidRDefault="00354B28" w:rsidP="00354B28">
            <w:pPr>
              <w:rPr>
                <w:rFonts w:ascii="Calibri" w:eastAsia="Times New Roman" w:hAnsi="Calibri" w:cs="Calibri"/>
                <w:color w:val="000000"/>
                <w:lang w:eastAsia="en-GB"/>
              </w:rPr>
            </w:pPr>
            <w:r w:rsidRPr="00354B28">
              <w:rPr>
                <w:rFonts w:ascii="Calibri" w:eastAsia="Times New Roman" w:hAnsi="Calibri" w:cs="Calibri"/>
                <w:color w:val="000000"/>
                <w:lang w:eastAsia="en-GB"/>
              </w:rPr>
              <w:t xml:space="preserve">Northern Ireland </w:t>
            </w:r>
          </w:p>
        </w:tc>
        <w:tc>
          <w:tcPr>
            <w:tcW w:w="2080" w:type="dxa"/>
            <w:noWrap/>
            <w:hideMark/>
          </w:tcPr>
          <w:p w14:paraId="4476453E" w14:textId="77777777" w:rsidR="00354B28" w:rsidRPr="00354B28" w:rsidRDefault="00354B28" w:rsidP="00354B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r w:rsidRPr="00354B28">
              <w:rPr>
                <w:rFonts w:ascii="Calibri" w:eastAsia="Times New Roman" w:hAnsi="Calibri" w:cs="Calibri"/>
                <w:b/>
                <w:bCs/>
                <w:lang w:eastAsia="en-GB"/>
              </w:rPr>
              <w:t>21,366</w:t>
            </w:r>
          </w:p>
        </w:tc>
        <w:tc>
          <w:tcPr>
            <w:tcW w:w="2080" w:type="dxa"/>
            <w:noWrap/>
            <w:hideMark/>
          </w:tcPr>
          <w:p w14:paraId="084B45DA" w14:textId="77777777" w:rsidR="00354B28" w:rsidRPr="00354B28" w:rsidRDefault="00354B28" w:rsidP="00354B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r w:rsidRPr="00354B28">
              <w:rPr>
                <w:rFonts w:ascii="Calibri" w:eastAsia="Times New Roman" w:hAnsi="Calibri" w:cs="Calibri"/>
                <w:b/>
                <w:bCs/>
                <w:lang w:eastAsia="en-GB"/>
              </w:rPr>
              <w:t>4,782</w:t>
            </w:r>
          </w:p>
        </w:tc>
        <w:tc>
          <w:tcPr>
            <w:tcW w:w="2080" w:type="dxa"/>
            <w:noWrap/>
            <w:hideMark/>
          </w:tcPr>
          <w:p w14:paraId="4AC36601" w14:textId="77777777" w:rsidR="00354B28" w:rsidRPr="00354B28" w:rsidRDefault="00354B28" w:rsidP="00354B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lang w:eastAsia="en-GB"/>
              </w:rPr>
            </w:pPr>
            <w:r w:rsidRPr="00354B28">
              <w:rPr>
                <w:rFonts w:ascii="Calibri" w:eastAsia="Times New Roman" w:hAnsi="Calibri" w:cs="Calibri"/>
                <w:b/>
                <w:bCs/>
                <w:i/>
                <w:iCs/>
                <w:lang w:eastAsia="en-GB"/>
              </w:rPr>
              <w:t>22.4%</w:t>
            </w:r>
          </w:p>
        </w:tc>
      </w:tr>
    </w:tbl>
    <w:p w14:paraId="7F33FC4C" w14:textId="4D038083" w:rsidR="00354B28" w:rsidRDefault="00354B28" w:rsidP="00354B28">
      <w:pPr>
        <w:rPr>
          <w:i/>
          <w:sz w:val="20"/>
          <w:szCs w:val="20"/>
        </w:rPr>
      </w:pPr>
      <w:r>
        <w:rPr>
          <w:i/>
          <w:sz w:val="20"/>
          <w:szCs w:val="20"/>
        </w:rPr>
        <w:t xml:space="preserve">Table 1: City/town centre non-domestic property vacancy rates as </w:t>
      </w:r>
      <w:proofErr w:type="gramStart"/>
      <w:r>
        <w:rPr>
          <w:i/>
          <w:sz w:val="20"/>
          <w:szCs w:val="20"/>
        </w:rPr>
        <w:t>at</w:t>
      </w:r>
      <w:proofErr w:type="gramEnd"/>
      <w:r>
        <w:rPr>
          <w:i/>
          <w:sz w:val="20"/>
          <w:szCs w:val="20"/>
        </w:rPr>
        <w:t xml:space="preserve"> </w:t>
      </w:r>
      <w:r>
        <w:rPr>
          <w:i/>
          <w:sz w:val="20"/>
          <w:szCs w:val="20"/>
        </w:rPr>
        <w:t>30</w:t>
      </w:r>
      <w:r w:rsidRPr="00354B28">
        <w:rPr>
          <w:i/>
          <w:sz w:val="20"/>
          <w:szCs w:val="20"/>
          <w:vertAlign w:val="superscript"/>
        </w:rPr>
        <w:t>th</w:t>
      </w:r>
      <w:r>
        <w:rPr>
          <w:i/>
          <w:sz w:val="20"/>
          <w:szCs w:val="20"/>
        </w:rPr>
        <w:t xml:space="preserve"> April</w:t>
      </w:r>
      <w:r>
        <w:rPr>
          <w:i/>
          <w:sz w:val="20"/>
          <w:szCs w:val="20"/>
        </w:rPr>
        <w:t xml:space="preserve"> 202</w:t>
      </w:r>
      <w:r>
        <w:rPr>
          <w:i/>
          <w:sz w:val="20"/>
          <w:szCs w:val="20"/>
        </w:rPr>
        <w:t>4</w:t>
      </w:r>
      <w:r w:rsidRPr="002A2185">
        <w:rPr>
          <w:i/>
          <w:sz w:val="20"/>
          <w:szCs w:val="20"/>
        </w:rPr>
        <w:t>. Source:</w:t>
      </w:r>
      <w:r>
        <w:rPr>
          <w:i/>
          <w:sz w:val="20"/>
          <w:szCs w:val="20"/>
        </w:rPr>
        <w:t xml:space="preserve"> Land and Property Services via Town Centre Database, Department for Communities</w:t>
      </w:r>
      <w:r w:rsidRPr="002A2185">
        <w:rPr>
          <w:i/>
          <w:sz w:val="20"/>
          <w:szCs w:val="20"/>
        </w:rPr>
        <w:t>.</w:t>
      </w:r>
      <w:r>
        <w:rPr>
          <w:i/>
          <w:sz w:val="20"/>
          <w:szCs w:val="20"/>
        </w:rPr>
        <w:t xml:space="preserve"> </w:t>
      </w:r>
    </w:p>
    <w:p w14:paraId="0253E122" w14:textId="0AAB6585" w:rsidR="008A3B82" w:rsidRDefault="00980495" w:rsidP="00980495">
      <w:pPr>
        <w:rPr>
          <w:i/>
          <w:sz w:val="20"/>
          <w:szCs w:val="20"/>
        </w:rPr>
      </w:pPr>
      <w:r w:rsidRPr="00980495">
        <w:rPr>
          <w:i/>
          <w:sz w:val="20"/>
          <w:szCs w:val="20"/>
        </w:rPr>
        <w:t xml:space="preserve"> </w:t>
      </w:r>
    </w:p>
    <w:p w14:paraId="2E1DF469" w14:textId="7331EE9E" w:rsidR="00980495" w:rsidRDefault="008A3B82" w:rsidP="00980495">
      <w:pPr>
        <w:rPr>
          <w:i/>
          <w:sz w:val="20"/>
          <w:szCs w:val="20"/>
        </w:rPr>
      </w:pPr>
      <w:r>
        <w:rPr>
          <w:noProof/>
        </w:rPr>
        <w:drawing>
          <wp:inline distT="0" distB="0" distL="0" distR="0" wp14:anchorId="221E07AF" wp14:editId="43FBB8E9">
            <wp:extent cx="5490210" cy="2524125"/>
            <wp:effectExtent l="0" t="0" r="15240" b="9525"/>
            <wp:docPr id="111915102" name="Chart 1">
              <a:extLst xmlns:a="http://schemas.openxmlformats.org/drawingml/2006/main">
                <a:ext uri="{FF2B5EF4-FFF2-40B4-BE49-F238E27FC236}">
                  <a16:creationId xmlns:a16="http://schemas.microsoft.com/office/drawing/2014/main" id="{F191A744-72A2-2871-6A92-B353137F73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980495">
        <w:rPr>
          <w:i/>
          <w:sz w:val="20"/>
          <w:szCs w:val="20"/>
        </w:rPr>
        <w:t xml:space="preserve">Figure 1: City/town centre non-domestic property vacancy rates as </w:t>
      </w:r>
      <w:proofErr w:type="gramStart"/>
      <w:r w:rsidR="00980495">
        <w:rPr>
          <w:i/>
          <w:sz w:val="20"/>
          <w:szCs w:val="20"/>
        </w:rPr>
        <w:t>at</w:t>
      </w:r>
      <w:proofErr w:type="gramEnd"/>
      <w:r w:rsidR="00980495">
        <w:rPr>
          <w:i/>
          <w:sz w:val="20"/>
          <w:szCs w:val="20"/>
        </w:rPr>
        <w:t xml:space="preserve"> </w:t>
      </w:r>
      <w:r>
        <w:rPr>
          <w:i/>
          <w:sz w:val="20"/>
          <w:szCs w:val="20"/>
        </w:rPr>
        <w:t>30</w:t>
      </w:r>
      <w:r w:rsidRPr="008A3B82">
        <w:rPr>
          <w:i/>
          <w:sz w:val="20"/>
          <w:szCs w:val="20"/>
          <w:vertAlign w:val="superscript"/>
        </w:rPr>
        <w:t>th</w:t>
      </w:r>
      <w:r>
        <w:rPr>
          <w:i/>
          <w:sz w:val="20"/>
          <w:szCs w:val="20"/>
        </w:rPr>
        <w:t xml:space="preserve"> April 2024</w:t>
      </w:r>
      <w:r w:rsidR="00980495" w:rsidRPr="002A2185">
        <w:rPr>
          <w:i/>
          <w:sz w:val="20"/>
          <w:szCs w:val="20"/>
        </w:rPr>
        <w:t>. Source:</w:t>
      </w:r>
      <w:r w:rsidR="00980495">
        <w:rPr>
          <w:i/>
          <w:sz w:val="20"/>
          <w:szCs w:val="20"/>
        </w:rPr>
        <w:t xml:space="preserve"> Land and Property Services via Town Centre Database, Department for Communities</w:t>
      </w:r>
      <w:r w:rsidR="00980495" w:rsidRPr="002A2185">
        <w:rPr>
          <w:i/>
          <w:sz w:val="20"/>
          <w:szCs w:val="20"/>
        </w:rPr>
        <w:t>.</w:t>
      </w:r>
      <w:r w:rsidR="00980495">
        <w:rPr>
          <w:i/>
          <w:sz w:val="20"/>
          <w:szCs w:val="20"/>
        </w:rPr>
        <w:t xml:space="preserve"> </w:t>
      </w:r>
    </w:p>
    <w:p w14:paraId="4E363471" w14:textId="77777777" w:rsidR="00980495" w:rsidRPr="00EB4ADC" w:rsidRDefault="00980495" w:rsidP="00163756"/>
    <w:p w14:paraId="1F9F0AF4" w14:textId="01FFA256" w:rsidR="00095AEC" w:rsidRDefault="001C3C76" w:rsidP="00956354">
      <w:r>
        <w:t xml:space="preserve">Table 2 presents the vacancy rates in </w:t>
      </w:r>
      <w:r w:rsidR="005D4F3B">
        <w:t>April/May</w:t>
      </w:r>
      <w:r>
        <w:t xml:space="preserve"> each year between 2016 and 202</w:t>
      </w:r>
      <w:r w:rsidR="005D4F3B">
        <w:t>4</w:t>
      </w:r>
      <w:r>
        <w:t xml:space="preserve">.  </w:t>
      </w:r>
      <w:r w:rsidR="00C51627">
        <w:t xml:space="preserve">Dromore has consistently had the highest vacancy rates </w:t>
      </w:r>
      <w:r w:rsidR="003975ED">
        <w:t xml:space="preserve">although it has fallen </w:t>
      </w:r>
      <w:r w:rsidR="004E798D">
        <w:t xml:space="preserve">by </w:t>
      </w:r>
      <w:r w:rsidR="00136313">
        <w:t>almost</w:t>
      </w:r>
      <w:r w:rsidR="004E798D">
        <w:t xml:space="preserve"> 6</w:t>
      </w:r>
      <w:r w:rsidR="003975ED">
        <w:t xml:space="preserve"> percentage points between </w:t>
      </w:r>
      <w:r w:rsidR="00136313">
        <w:t>April</w:t>
      </w:r>
      <w:r w:rsidR="004E798D">
        <w:t xml:space="preserve"> </w:t>
      </w:r>
      <w:r w:rsidR="003975ED">
        <w:t xml:space="preserve">2016 and </w:t>
      </w:r>
      <w:r w:rsidR="00136313">
        <w:t>April 2</w:t>
      </w:r>
      <w:r w:rsidR="003975ED">
        <w:t>02</w:t>
      </w:r>
      <w:r w:rsidR="00136313">
        <w:t>4</w:t>
      </w:r>
      <w:r w:rsidR="003975ED">
        <w:t xml:space="preserve">.  Despite increasing by </w:t>
      </w:r>
      <w:r w:rsidR="00136313">
        <w:t xml:space="preserve">almost </w:t>
      </w:r>
      <w:r w:rsidR="004E798D">
        <w:t>1.</w:t>
      </w:r>
      <w:r w:rsidR="00136313">
        <w:t>7</w:t>
      </w:r>
      <w:r w:rsidR="003975ED">
        <w:t xml:space="preserve"> percentage points, </w:t>
      </w:r>
      <w:r w:rsidR="00C51627">
        <w:t>Craigavon has maintained the lowest</w:t>
      </w:r>
      <w:r w:rsidR="003975ED">
        <w:t xml:space="preserve"> vacancy rate in the borough</w:t>
      </w:r>
      <w:r w:rsidR="00C51627">
        <w:t>.</w:t>
      </w:r>
      <w:r w:rsidR="003975ED">
        <w:t xml:space="preserve"> </w:t>
      </w:r>
      <w:r>
        <w:t xml:space="preserve"> </w:t>
      </w:r>
      <w:r w:rsidR="003975ED">
        <w:t xml:space="preserve">Armagh </w:t>
      </w:r>
      <w:r w:rsidR="009C0905">
        <w:t>ha</w:t>
      </w:r>
      <w:r w:rsidR="00136313">
        <w:t>s</w:t>
      </w:r>
      <w:r w:rsidR="003975ED">
        <w:t xml:space="preserve"> experienced the greatest fall in the vacancy rates </w:t>
      </w:r>
      <w:r w:rsidR="00136313">
        <w:t>having</w:t>
      </w:r>
      <w:r w:rsidR="003975ED">
        <w:t xml:space="preserve"> fallen by 7.</w:t>
      </w:r>
      <w:r w:rsidR="00136313">
        <w:t>2</w:t>
      </w:r>
      <w:r w:rsidR="003975ED">
        <w:t xml:space="preserve"> </w:t>
      </w:r>
      <w:r w:rsidR="009C0905">
        <w:t xml:space="preserve">percentage points between </w:t>
      </w:r>
      <w:r w:rsidR="00136313">
        <w:t>April</w:t>
      </w:r>
      <w:r w:rsidR="004E798D">
        <w:t xml:space="preserve"> </w:t>
      </w:r>
      <w:r w:rsidR="009C0905">
        <w:t xml:space="preserve">2016 and </w:t>
      </w:r>
      <w:r w:rsidR="00136313">
        <w:t>April</w:t>
      </w:r>
      <w:r w:rsidR="004E798D">
        <w:t xml:space="preserve"> </w:t>
      </w:r>
      <w:r w:rsidR="009C0905">
        <w:t>202</w:t>
      </w:r>
      <w:r w:rsidR="00136313">
        <w:t>4</w:t>
      </w:r>
      <w:r w:rsidR="009C0905">
        <w:t xml:space="preserve">.  </w:t>
      </w:r>
    </w:p>
    <w:p w14:paraId="10BFCFE5" w14:textId="11B56C1D" w:rsidR="005C2415" w:rsidRDefault="005C2415" w:rsidP="005C2415">
      <w:pPr>
        <w:rPr>
          <w:i/>
          <w:sz w:val="20"/>
          <w:szCs w:val="20"/>
        </w:rPr>
      </w:pPr>
    </w:p>
    <w:tbl>
      <w:tblPr>
        <w:tblStyle w:val="GridTable1Light"/>
        <w:tblW w:w="9209" w:type="dxa"/>
        <w:tblLayout w:type="fixed"/>
        <w:tblLook w:val="04A0" w:firstRow="1" w:lastRow="0" w:firstColumn="1" w:lastColumn="0" w:noHBand="0" w:noVBand="1"/>
      </w:tblPr>
      <w:tblGrid>
        <w:gridCol w:w="1413"/>
        <w:gridCol w:w="1093"/>
        <w:gridCol w:w="1093"/>
        <w:gridCol w:w="1094"/>
        <w:gridCol w:w="1093"/>
        <w:gridCol w:w="1094"/>
        <w:gridCol w:w="1195"/>
        <w:gridCol w:w="1134"/>
      </w:tblGrid>
      <w:tr w:rsidR="009443D3" w:rsidRPr="009443D3" w14:paraId="74DB49FE" w14:textId="77777777" w:rsidTr="009443D3">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13" w:type="dxa"/>
            <w:noWrap/>
            <w:hideMark/>
          </w:tcPr>
          <w:p w14:paraId="29910C19" w14:textId="77777777" w:rsidR="009443D3" w:rsidRPr="009443D3" w:rsidRDefault="009443D3" w:rsidP="009443D3">
            <w:pPr>
              <w:rPr>
                <w:rFonts w:ascii="Calibri" w:eastAsia="Times New Roman" w:hAnsi="Calibri" w:cs="Calibri"/>
                <w:sz w:val="20"/>
                <w:szCs w:val="20"/>
                <w:lang w:eastAsia="en-GB"/>
              </w:rPr>
            </w:pPr>
            <w:r w:rsidRPr="009443D3">
              <w:rPr>
                <w:rFonts w:ascii="Calibri" w:eastAsia="Times New Roman" w:hAnsi="Calibri" w:cs="Calibri"/>
                <w:sz w:val="20"/>
                <w:szCs w:val="20"/>
                <w:lang w:eastAsia="en-GB"/>
              </w:rPr>
              <w:lastRenderedPageBreak/>
              <w:t> </w:t>
            </w:r>
          </w:p>
        </w:tc>
        <w:tc>
          <w:tcPr>
            <w:tcW w:w="1093" w:type="dxa"/>
            <w:noWrap/>
            <w:hideMark/>
          </w:tcPr>
          <w:p w14:paraId="3C89F3B9" w14:textId="01BB34B1" w:rsidR="009443D3" w:rsidRPr="009443D3" w:rsidRDefault="009443D3" w:rsidP="009443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Pr>
                <w:rFonts w:ascii="Calibri" w:eastAsia="Times New Roman" w:hAnsi="Calibri" w:cs="Calibri"/>
                <w:sz w:val="20"/>
                <w:szCs w:val="20"/>
                <w:lang w:eastAsia="en-GB"/>
              </w:rPr>
              <w:t>Armagh</w:t>
            </w:r>
          </w:p>
        </w:tc>
        <w:tc>
          <w:tcPr>
            <w:tcW w:w="1093" w:type="dxa"/>
            <w:noWrap/>
            <w:hideMark/>
          </w:tcPr>
          <w:p w14:paraId="1357D57A" w14:textId="05B63F32" w:rsidR="009443D3" w:rsidRPr="009443D3" w:rsidRDefault="009443D3" w:rsidP="009443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Pr>
                <w:rFonts w:ascii="Calibri" w:eastAsia="Times New Roman" w:hAnsi="Calibri" w:cs="Calibri"/>
                <w:sz w:val="20"/>
                <w:szCs w:val="20"/>
                <w:lang w:eastAsia="en-GB"/>
              </w:rPr>
              <w:t>Banbridge</w:t>
            </w:r>
          </w:p>
        </w:tc>
        <w:tc>
          <w:tcPr>
            <w:tcW w:w="1094" w:type="dxa"/>
            <w:noWrap/>
            <w:hideMark/>
          </w:tcPr>
          <w:p w14:paraId="2BA577EC" w14:textId="27A9C404" w:rsidR="009443D3" w:rsidRPr="009443D3" w:rsidRDefault="009443D3" w:rsidP="009443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Pr>
                <w:rFonts w:ascii="Calibri" w:eastAsia="Times New Roman" w:hAnsi="Calibri" w:cs="Calibri"/>
                <w:sz w:val="20"/>
                <w:szCs w:val="20"/>
                <w:lang w:eastAsia="en-GB"/>
              </w:rPr>
              <w:t>Craigavon</w:t>
            </w:r>
          </w:p>
        </w:tc>
        <w:tc>
          <w:tcPr>
            <w:tcW w:w="1093" w:type="dxa"/>
            <w:noWrap/>
            <w:hideMark/>
          </w:tcPr>
          <w:p w14:paraId="05F660F8" w14:textId="58BFDBA0" w:rsidR="009443D3" w:rsidRPr="009443D3" w:rsidRDefault="009443D3" w:rsidP="009443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Pr>
                <w:rFonts w:ascii="Calibri" w:eastAsia="Times New Roman" w:hAnsi="Calibri" w:cs="Calibri"/>
                <w:sz w:val="20"/>
                <w:szCs w:val="20"/>
                <w:lang w:eastAsia="en-GB"/>
              </w:rPr>
              <w:t>Dromore</w:t>
            </w:r>
          </w:p>
        </w:tc>
        <w:tc>
          <w:tcPr>
            <w:tcW w:w="1094" w:type="dxa"/>
            <w:noWrap/>
            <w:hideMark/>
          </w:tcPr>
          <w:p w14:paraId="57F2C177" w14:textId="4E8E20DD" w:rsidR="009443D3" w:rsidRPr="009443D3" w:rsidRDefault="009443D3" w:rsidP="009443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Pr>
                <w:rFonts w:ascii="Calibri" w:eastAsia="Times New Roman" w:hAnsi="Calibri" w:cs="Calibri"/>
                <w:sz w:val="20"/>
                <w:szCs w:val="20"/>
                <w:lang w:eastAsia="en-GB"/>
              </w:rPr>
              <w:t>Lurgan</w:t>
            </w:r>
          </w:p>
        </w:tc>
        <w:tc>
          <w:tcPr>
            <w:tcW w:w="1195" w:type="dxa"/>
            <w:noWrap/>
            <w:hideMark/>
          </w:tcPr>
          <w:p w14:paraId="16F4D4FD" w14:textId="072145ED" w:rsidR="009443D3" w:rsidRPr="009443D3" w:rsidRDefault="009443D3" w:rsidP="009443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Pr>
                <w:rFonts w:ascii="Calibri" w:eastAsia="Times New Roman" w:hAnsi="Calibri" w:cs="Calibri"/>
                <w:sz w:val="20"/>
                <w:szCs w:val="20"/>
                <w:lang w:eastAsia="en-GB"/>
              </w:rPr>
              <w:t>Portadown</w:t>
            </w:r>
          </w:p>
        </w:tc>
        <w:tc>
          <w:tcPr>
            <w:tcW w:w="1134" w:type="dxa"/>
            <w:noWrap/>
            <w:hideMark/>
          </w:tcPr>
          <w:p w14:paraId="499BB0D2" w14:textId="7B03073E" w:rsidR="009443D3" w:rsidRPr="009443D3" w:rsidRDefault="009443D3" w:rsidP="009443D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GB"/>
              </w:rPr>
            </w:pPr>
            <w:r>
              <w:rPr>
                <w:rFonts w:ascii="Calibri" w:eastAsia="Times New Roman" w:hAnsi="Calibri" w:cs="Calibri"/>
                <w:sz w:val="20"/>
                <w:szCs w:val="20"/>
                <w:lang w:eastAsia="en-GB"/>
              </w:rPr>
              <w:t>Northern Ireland</w:t>
            </w:r>
          </w:p>
        </w:tc>
      </w:tr>
      <w:tr w:rsidR="00136313" w:rsidRPr="009443D3" w14:paraId="1BF2FE35" w14:textId="77777777" w:rsidTr="00EE5DC5">
        <w:trPr>
          <w:trHeight w:val="288"/>
        </w:trPr>
        <w:tc>
          <w:tcPr>
            <w:cnfStyle w:val="001000000000" w:firstRow="0" w:lastRow="0" w:firstColumn="1" w:lastColumn="0" w:oddVBand="0" w:evenVBand="0" w:oddHBand="0" w:evenHBand="0" w:firstRowFirstColumn="0" w:firstRowLastColumn="0" w:lastRowFirstColumn="0" w:lastRowLastColumn="0"/>
            <w:tcW w:w="1413" w:type="dxa"/>
            <w:hideMark/>
          </w:tcPr>
          <w:p w14:paraId="359BF967" w14:textId="77777777" w:rsidR="00136313" w:rsidRPr="009443D3" w:rsidRDefault="00136313" w:rsidP="00EE5DC5">
            <w:pPr>
              <w:rPr>
                <w:rFonts w:ascii="Calibri" w:eastAsia="Times New Roman" w:hAnsi="Calibri" w:cs="Calibri"/>
                <w:sz w:val="20"/>
                <w:szCs w:val="20"/>
                <w:lang w:eastAsia="en-GB"/>
              </w:rPr>
            </w:pPr>
            <w:r w:rsidRPr="009443D3">
              <w:rPr>
                <w:rFonts w:ascii="Calibri" w:eastAsia="Times New Roman" w:hAnsi="Calibri" w:cs="Calibri"/>
                <w:sz w:val="20"/>
                <w:szCs w:val="20"/>
                <w:lang w:eastAsia="en-GB"/>
              </w:rPr>
              <w:t>30</w:t>
            </w:r>
            <w:r w:rsidRPr="009443D3">
              <w:rPr>
                <w:rFonts w:ascii="Calibri" w:eastAsia="Times New Roman" w:hAnsi="Calibri" w:cs="Calibri"/>
                <w:sz w:val="20"/>
                <w:szCs w:val="20"/>
                <w:vertAlign w:val="superscript"/>
                <w:lang w:eastAsia="en-GB"/>
              </w:rPr>
              <w:t>th</w:t>
            </w:r>
            <w:r w:rsidRPr="009443D3">
              <w:rPr>
                <w:rFonts w:ascii="Calibri" w:eastAsia="Times New Roman" w:hAnsi="Calibri" w:cs="Calibri"/>
                <w:sz w:val="20"/>
                <w:szCs w:val="20"/>
                <w:lang w:eastAsia="en-GB"/>
              </w:rPr>
              <w:t xml:space="preserve"> Apr 2016</w:t>
            </w:r>
          </w:p>
        </w:tc>
        <w:tc>
          <w:tcPr>
            <w:tcW w:w="1093" w:type="dxa"/>
            <w:noWrap/>
            <w:hideMark/>
          </w:tcPr>
          <w:p w14:paraId="3BBBBCE9" w14:textId="77777777" w:rsidR="00136313" w:rsidRPr="009443D3" w:rsidRDefault="00136313" w:rsidP="00EE5DC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9443D3">
              <w:rPr>
                <w:rFonts w:eastAsia="Times New Roman" w:cstheme="minorHAnsi"/>
                <w:sz w:val="20"/>
                <w:szCs w:val="20"/>
                <w:lang w:eastAsia="en-GB"/>
              </w:rPr>
              <w:t>23.6%</w:t>
            </w:r>
          </w:p>
        </w:tc>
        <w:tc>
          <w:tcPr>
            <w:tcW w:w="1093" w:type="dxa"/>
            <w:noWrap/>
            <w:hideMark/>
          </w:tcPr>
          <w:p w14:paraId="2C4AFDFA" w14:textId="77777777" w:rsidR="00136313" w:rsidRPr="009443D3" w:rsidRDefault="00136313" w:rsidP="00EE5DC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9443D3">
              <w:rPr>
                <w:rFonts w:eastAsia="Times New Roman" w:cstheme="minorHAnsi"/>
                <w:sz w:val="20"/>
                <w:szCs w:val="20"/>
                <w:lang w:eastAsia="en-GB"/>
              </w:rPr>
              <w:t>20.7%</w:t>
            </w:r>
          </w:p>
        </w:tc>
        <w:tc>
          <w:tcPr>
            <w:tcW w:w="1094" w:type="dxa"/>
            <w:noWrap/>
            <w:hideMark/>
          </w:tcPr>
          <w:p w14:paraId="53FE36A9" w14:textId="77777777" w:rsidR="00136313" w:rsidRPr="009443D3" w:rsidRDefault="00136313" w:rsidP="00EE5DC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9443D3">
              <w:rPr>
                <w:rFonts w:eastAsia="Times New Roman" w:cstheme="minorHAnsi"/>
                <w:sz w:val="20"/>
                <w:szCs w:val="20"/>
                <w:lang w:eastAsia="en-GB"/>
              </w:rPr>
              <w:t>6.3%</w:t>
            </w:r>
          </w:p>
        </w:tc>
        <w:tc>
          <w:tcPr>
            <w:tcW w:w="1093" w:type="dxa"/>
            <w:noWrap/>
            <w:hideMark/>
          </w:tcPr>
          <w:p w14:paraId="5A83DF3D" w14:textId="77777777" w:rsidR="00136313" w:rsidRPr="009443D3" w:rsidRDefault="00136313" w:rsidP="00EE5DC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9443D3">
              <w:rPr>
                <w:rFonts w:eastAsia="Times New Roman" w:cstheme="minorHAnsi"/>
                <w:sz w:val="20"/>
                <w:szCs w:val="20"/>
                <w:lang w:eastAsia="en-GB"/>
              </w:rPr>
              <w:t>30.2%</w:t>
            </w:r>
          </w:p>
        </w:tc>
        <w:tc>
          <w:tcPr>
            <w:tcW w:w="1094" w:type="dxa"/>
            <w:noWrap/>
            <w:hideMark/>
          </w:tcPr>
          <w:p w14:paraId="10180BF1" w14:textId="77777777" w:rsidR="00136313" w:rsidRPr="009443D3" w:rsidRDefault="00136313" w:rsidP="00EE5DC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9443D3">
              <w:rPr>
                <w:rFonts w:eastAsia="Times New Roman" w:cstheme="minorHAnsi"/>
                <w:sz w:val="20"/>
                <w:szCs w:val="20"/>
                <w:lang w:eastAsia="en-GB"/>
              </w:rPr>
              <w:t>25.5%</w:t>
            </w:r>
          </w:p>
        </w:tc>
        <w:tc>
          <w:tcPr>
            <w:tcW w:w="1195" w:type="dxa"/>
            <w:noWrap/>
            <w:hideMark/>
          </w:tcPr>
          <w:p w14:paraId="058EDBCB" w14:textId="77777777" w:rsidR="00136313" w:rsidRPr="009443D3" w:rsidRDefault="00136313" w:rsidP="00EE5DC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9443D3">
              <w:rPr>
                <w:rFonts w:eastAsia="Times New Roman" w:cstheme="minorHAnsi"/>
                <w:sz w:val="20"/>
                <w:szCs w:val="20"/>
                <w:lang w:eastAsia="en-GB"/>
              </w:rPr>
              <w:t>27.8%</w:t>
            </w:r>
          </w:p>
        </w:tc>
        <w:tc>
          <w:tcPr>
            <w:tcW w:w="1134" w:type="dxa"/>
            <w:noWrap/>
            <w:hideMark/>
          </w:tcPr>
          <w:p w14:paraId="5492B9E9" w14:textId="77777777" w:rsidR="00136313" w:rsidRPr="009443D3" w:rsidRDefault="00136313" w:rsidP="00EE5DC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20"/>
                <w:szCs w:val="20"/>
                <w:lang w:eastAsia="en-GB"/>
              </w:rPr>
            </w:pPr>
            <w:r w:rsidRPr="009443D3">
              <w:rPr>
                <w:rFonts w:eastAsia="Times New Roman" w:cstheme="minorHAnsi"/>
                <w:b/>
                <w:bCs/>
                <w:i/>
                <w:iCs/>
                <w:sz w:val="20"/>
                <w:szCs w:val="20"/>
                <w:lang w:eastAsia="en-GB"/>
              </w:rPr>
              <w:t>24.8%</w:t>
            </w:r>
          </w:p>
        </w:tc>
      </w:tr>
      <w:tr w:rsidR="00136313" w:rsidRPr="009443D3" w14:paraId="659EF0B6" w14:textId="77777777" w:rsidTr="008F6824">
        <w:trPr>
          <w:trHeight w:val="288"/>
        </w:trPr>
        <w:tc>
          <w:tcPr>
            <w:cnfStyle w:val="001000000000" w:firstRow="0" w:lastRow="0" w:firstColumn="1" w:lastColumn="0" w:oddVBand="0" w:evenVBand="0" w:oddHBand="0" w:evenHBand="0" w:firstRowFirstColumn="0" w:firstRowLastColumn="0" w:lastRowFirstColumn="0" w:lastRowLastColumn="0"/>
            <w:tcW w:w="1413" w:type="dxa"/>
            <w:hideMark/>
          </w:tcPr>
          <w:p w14:paraId="5372F58E" w14:textId="77777777" w:rsidR="00136313" w:rsidRPr="009443D3" w:rsidRDefault="00136313" w:rsidP="008F6824">
            <w:pPr>
              <w:rPr>
                <w:rFonts w:ascii="Calibri" w:eastAsia="Times New Roman" w:hAnsi="Calibri" w:cs="Calibri"/>
                <w:sz w:val="20"/>
                <w:szCs w:val="20"/>
                <w:lang w:eastAsia="en-GB"/>
              </w:rPr>
            </w:pPr>
            <w:r w:rsidRPr="009443D3">
              <w:rPr>
                <w:rFonts w:ascii="Calibri" w:eastAsia="Times New Roman" w:hAnsi="Calibri" w:cs="Calibri"/>
                <w:sz w:val="20"/>
                <w:szCs w:val="20"/>
                <w:lang w:eastAsia="en-GB"/>
              </w:rPr>
              <w:t>7</w:t>
            </w:r>
            <w:r w:rsidRPr="009443D3">
              <w:rPr>
                <w:rFonts w:ascii="Calibri" w:eastAsia="Times New Roman" w:hAnsi="Calibri" w:cs="Calibri"/>
                <w:sz w:val="20"/>
                <w:szCs w:val="20"/>
                <w:vertAlign w:val="superscript"/>
                <w:lang w:eastAsia="en-GB"/>
              </w:rPr>
              <w:t>th</w:t>
            </w:r>
            <w:r>
              <w:rPr>
                <w:rFonts w:ascii="Calibri" w:eastAsia="Times New Roman" w:hAnsi="Calibri" w:cs="Calibri"/>
                <w:b w:val="0"/>
                <w:bCs w:val="0"/>
                <w:sz w:val="20"/>
                <w:szCs w:val="20"/>
                <w:lang w:eastAsia="en-GB"/>
              </w:rPr>
              <w:t xml:space="preserve"> </w:t>
            </w:r>
            <w:r w:rsidRPr="009443D3">
              <w:rPr>
                <w:rFonts w:ascii="Calibri" w:eastAsia="Times New Roman" w:hAnsi="Calibri" w:cs="Calibri"/>
                <w:sz w:val="20"/>
                <w:szCs w:val="20"/>
                <w:lang w:eastAsia="en-GB"/>
              </w:rPr>
              <w:t>May 2017</w:t>
            </w:r>
          </w:p>
        </w:tc>
        <w:tc>
          <w:tcPr>
            <w:tcW w:w="1093" w:type="dxa"/>
            <w:noWrap/>
            <w:hideMark/>
          </w:tcPr>
          <w:p w14:paraId="7C431D1A" w14:textId="77777777" w:rsidR="00136313" w:rsidRPr="009443D3" w:rsidRDefault="00136313" w:rsidP="008F682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9443D3">
              <w:rPr>
                <w:rFonts w:eastAsia="Times New Roman" w:cstheme="minorHAnsi"/>
                <w:sz w:val="20"/>
                <w:szCs w:val="20"/>
                <w:lang w:eastAsia="en-GB"/>
              </w:rPr>
              <w:t>22.0%</w:t>
            </w:r>
          </w:p>
        </w:tc>
        <w:tc>
          <w:tcPr>
            <w:tcW w:w="1093" w:type="dxa"/>
            <w:noWrap/>
            <w:hideMark/>
          </w:tcPr>
          <w:p w14:paraId="35C06A74" w14:textId="77777777" w:rsidR="00136313" w:rsidRPr="009443D3" w:rsidRDefault="00136313" w:rsidP="008F682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9443D3">
              <w:rPr>
                <w:rFonts w:eastAsia="Times New Roman" w:cstheme="minorHAnsi"/>
                <w:sz w:val="20"/>
                <w:szCs w:val="20"/>
                <w:lang w:eastAsia="en-GB"/>
              </w:rPr>
              <w:t>22.1%</w:t>
            </w:r>
          </w:p>
        </w:tc>
        <w:tc>
          <w:tcPr>
            <w:tcW w:w="1094" w:type="dxa"/>
            <w:noWrap/>
            <w:hideMark/>
          </w:tcPr>
          <w:p w14:paraId="31C0AF4B" w14:textId="77777777" w:rsidR="00136313" w:rsidRPr="009443D3" w:rsidRDefault="00136313" w:rsidP="008F682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9443D3">
              <w:rPr>
                <w:rFonts w:eastAsia="Times New Roman" w:cstheme="minorHAnsi"/>
                <w:sz w:val="20"/>
                <w:szCs w:val="20"/>
                <w:lang w:eastAsia="en-GB"/>
              </w:rPr>
              <w:t>10.5%</w:t>
            </w:r>
          </w:p>
        </w:tc>
        <w:tc>
          <w:tcPr>
            <w:tcW w:w="1093" w:type="dxa"/>
            <w:noWrap/>
            <w:hideMark/>
          </w:tcPr>
          <w:p w14:paraId="4811B134" w14:textId="77777777" w:rsidR="00136313" w:rsidRPr="009443D3" w:rsidRDefault="00136313" w:rsidP="008F682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9443D3">
              <w:rPr>
                <w:rFonts w:eastAsia="Times New Roman" w:cstheme="minorHAnsi"/>
                <w:sz w:val="20"/>
                <w:szCs w:val="20"/>
                <w:lang w:eastAsia="en-GB"/>
              </w:rPr>
              <w:t>29.5%</w:t>
            </w:r>
          </w:p>
        </w:tc>
        <w:tc>
          <w:tcPr>
            <w:tcW w:w="1094" w:type="dxa"/>
            <w:noWrap/>
            <w:hideMark/>
          </w:tcPr>
          <w:p w14:paraId="69C7F360" w14:textId="77777777" w:rsidR="00136313" w:rsidRPr="009443D3" w:rsidRDefault="00136313" w:rsidP="008F682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9443D3">
              <w:rPr>
                <w:rFonts w:eastAsia="Times New Roman" w:cstheme="minorHAnsi"/>
                <w:sz w:val="20"/>
                <w:szCs w:val="20"/>
                <w:lang w:eastAsia="en-GB"/>
              </w:rPr>
              <w:t>24.2%</w:t>
            </w:r>
          </w:p>
        </w:tc>
        <w:tc>
          <w:tcPr>
            <w:tcW w:w="1195" w:type="dxa"/>
            <w:noWrap/>
            <w:hideMark/>
          </w:tcPr>
          <w:p w14:paraId="36D0A1C3" w14:textId="77777777" w:rsidR="00136313" w:rsidRPr="009443D3" w:rsidRDefault="00136313" w:rsidP="008F682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9443D3">
              <w:rPr>
                <w:rFonts w:eastAsia="Times New Roman" w:cstheme="minorHAnsi"/>
                <w:sz w:val="20"/>
                <w:szCs w:val="20"/>
                <w:lang w:eastAsia="en-GB"/>
              </w:rPr>
              <w:t>25.6%</w:t>
            </w:r>
          </w:p>
        </w:tc>
        <w:tc>
          <w:tcPr>
            <w:tcW w:w="1134" w:type="dxa"/>
            <w:noWrap/>
            <w:hideMark/>
          </w:tcPr>
          <w:p w14:paraId="7CDA814A" w14:textId="77777777" w:rsidR="00136313" w:rsidRPr="009443D3" w:rsidRDefault="00136313" w:rsidP="008F682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20"/>
                <w:szCs w:val="20"/>
                <w:lang w:eastAsia="en-GB"/>
              </w:rPr>
            </w:pPr>
            <w:r w:rsidRPr="009443D3">
              <w:rPr>
                <w:rFonts w:eastAsia="Times New Roman" w:cstheme="minorHAnsi"/>
                <w:b/>
                <w:bCs/>
                <w:i/>
                <w:iCs/>
                <w:sz w:val="20"/>
                <w:szCs w:val="20"/>
                <w:lang w:eastAsia="en-GB"/>
              </w:rPr>
              <w:t>24.2%</w:t>
            </w:r>
          </w:p>
        </w:tc>
      </w:tr>
      <w:tr w:rsidR="00136313" w:rsidRPr="009443D3" w14:paraId="6734AF60" w14:textId="77777777" w:rsidTr="00E01C40">
        <w:trPr>
          <w:trHeight w:val="288"/>
        </w:trPr>
        <w:tc>
          <w:tcPr>
            <w:cnfStyle w:val="001000000000" w:firstRow="0" w:lastRow="0" w:firstColumn="1" w:lastColumn="0" w:oddVBand="0" w:evenVBand="0" w:oddHBand="0" w:evenHBand="0" w:firstRowFirstColumn="0" w:firstRowLastColumn="0" w:lastRowFirstColumn="0" w:lastRowLastColumn="0"/>
            <w:tcW w:w="1413" w:type="dxa"/>
            <w:hideMark/>
          </w:tcPr>
          <w:p w14:paraId="63040908" w14:textId="77777777" w:rsidR="00136313" w:rsidRPr="009443D3" w:rsidRDefault="00136313" w:rsidP="00E01C40">
            <w:pPr>
              <w:rPr>
                <w:rFonts w:ascii="Calibri" w:eastAsia="Times New Roman" w:hAnsi="Calibri" w:cs="Calibri"/>
                <w:sz w:val="20"/>
                <w:szCs w:val="20"/>
                <w:lang w:eastAsia="en-GB"/>
              </w:rPr>
            </w:pPr>
            <w:r w:rsidRPr="009443D3">
              <w:rPr>
                <w:rFonts w:ascii="Calibri" w:eastAsia="Times New Roman" w:hAnsi="Calibri" w:cs="Calibri"/>
                <w:sz w:val="20"/>
                <w:szCs w:val="20"/>
                <w:lang w:eastAsia="en-GB"/>
              </w:rPr>
              <w:t>30</w:t>
            </w:r>
            <w:r w:rsidRPr="009443D3">
              <w:rPr>
                <w:rFonts w:ascii="Calibri" w:eastAsia="Times New Roman" w:hAnsi="Calibri" w:cs="Calibri"/>
                <w:sz w:val="20"/>
                <w:szCs w:val="20"/>
                <w:vertAlign w:val="superscript"/>
                <w:lang w:eastAsia="en-GB"/>
              </w:rPr>
              <w:t>th</w:t>
            </w:r>
            <w:r>
              <w:rPr>
                <w:rFonts w:ascii="Calibri" w:eastAsia="Times New Roman" w:hAnsi="Calibri" w:cs="Calibri"/>
                <w:b w:val="0"/>
                <w:bCs w:val="0"/>
                <w:sz w:val="20"/>
                <w:szCs w:val="20"/>
                <w:lang w:eastAsia="en-GB"/>
              </w:rPr>
              <w:t xml:space="preserve"> </w:t>
            </w:r>
            <w:r w:rsidRPr="009443D3">
              <w:rPr>
                <w:rFonts w:ascii="Calibri" w:eastAsia="Times New Roman" w:hAnsi="Calibri" w:cs="Calibri"/>
                <w:sz w:val="20"/>
                <w:szCs w:val="20"/>
                <w:lang w:eastAsia="en-GB"/>
              </w:rPr>
              <w:t>Apr 2018</w:t>
            </w:r>
          </w:p>
        </w:tc>
        <w:tc>
          <w:tcPr>
            <w:tcW w:w="1093" w:type="dxa"/>
            <w:noWrap/>
            <w:hideMark/>
          </w:tcPr>
          <w:p w14:paraId="2CDB73EA" w14:textId="77777777" w:rsidR="00136313" w:rsidRPr="009443D3" w:rsidRDefault="00136313" w:rsidP="00E01C4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9443D3">
              <w:rPr>
                <w:rFonts w:eastAsia="Times New Roman" w:cstheme="minorHAnsi"/>
                <w:sz w:val="20"/>
                <w:szCs w:val="20"/>
                <w:lang w:eastAsia="en-GB"/>
              </w:rPr>
              <w:t>22.8%</w:t>
            </w:r>
          </w:p>
        </w:tc>
        <w:tc>
          <w:tcPr>
            <w:tcW w:w="1093" w:type="dxa"/>
            <w:noWrap/>
            <w:hideMark/>
          </w:tcPr>
          <w:p w14:paraId="79FAA315" w14:textId="77777777" w:rsidR="00136313" w:rsidRPr="009443D3" w:rsidRDefault="00136313" w:rsidP="00E01C4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9443D3">
              <w:rPr>
                <w:rFonts w:eastAsia="Times New Roman" w:cstheme="minorHAnsi"/>
                <w:sz w:val="20"/>
                <w:szCs w:val="20"/>
                <w:lang w:eastAsia="en-GB"/>
              </w:rPr>
              <w:t>20.8%</w:t>
            </w:r>
          </w:p>
        </w:tc>
        <w:tc>
          <w:tcPr>
            <w:tcW w:w="1094" w:type="dxa"/>
            <w:noWrap/>
            <w:hideMark/>
          </w:tcPr>
          <w:p w14:paraId="1F4F5CFC" w14:textId="77777777" w:rsidR="00136313" w:rsidRPr="009443D3" w:rsidRDefault="00136313" w:rsidP="00E01C4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9443D3">
              <w:rPr>
                <w:rFonts w:eastAsia="Times New Roman" w:cstheme="minorHAnsi"/>
                <w:sz w:val="20"/>
                <w:szCs w:val="20"/>
                <w:lang w:eastAsia="en-GB"/>
              </w:rPr>
              <w:t>5.4%</w:t>
            </w:r>
          </w:p>
        </w:tc>
        <w:tc>
          <w:tcPr>
            <w:tcW w:w="1093" w:type="dxa"/>
            <w:noWrap/>
            <w:hideMark/>
          </w:tcPr>
          <w:p w14:paraId="42AEE8DE" w14:textId="77777777" w:rsidR="00136313" w:rsidRPr="009443D3" w:rsidRDefault="00136313" w:rsidP="00E01C4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9443D3">
              <w:rPr>
                <w:rFonts w:eastAsia="Times New Roman" w:cstheme="minorHAnsi"/>
                <w:sz w:val="20"/>
                <w:szCs w:val="20"/>
                <w:lang w:eastAsia="en-GB"/>
              </w:rPr>
              <w:t>29.1%</w:t>
            </w:r>
          </w:p>
        </w:tc>
        <w:tc>
          <w:tcPr>
            <w:tcW w:w="1094" w:type="dxa"/>
            <w:noWrap/>
            <w:hideMark/>
          </w:tcPr>
          <w:p w14:paraId="4B2864C4" w14:textId="77777777" w:rsidR="00136313" w:rsidRPr="009443D3" w:rsidRDefault="00136313" w:rsidP="00E01C4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9443D3">
              <w:rPr>
                <w:rFonts w:eastAsia="Times New Roman" w:cstheme="minorHAnsi"/>
                <w:sz w:val="20"/>
                <w:szCs w:val="20"/>
                <w:lang w:eastAsia="en-GB"/>
              </w:rPr>
              <w:t>25.3%</w:t>
            </w:r>
          </w:p>
        </w:tc>
        <w:tc>
          <w:tcPr>
            <w:tcW w:w="1195" w:type="dxa"/>
            <w:noWrap/>
            <w:hideMark/>
          </w:tcPr>
          <w:p w14:paraId="67AE7E0E" w14:textId="77777777" w:rsidR="00136313" w:rsidRPr="009443D3" w:rsidRDefault="00136313" w:rsidP="00E01C4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9443D3">
              <w:rPr>
                <w:rFonts w:eastAsia="Times New Roman" w:cstheme="minorHAnsi"/>
                <w:sz w:val="20"/>
                <w:szCs w:val="20"/>
                <w:lang w:eastAsia="en-GB"/>
              </w:rPr>
              <w:t>25.7%</w:t>
            </w:r>
          </w:p>
        </w:tc>
        <w:tc>
          <w:tcPr>
            <w:tcW w:w="1134" w:type="dxa"/>
            <w:noWrap/>
            <w:hideMark/>
          </w:tcPr>
          <w:p w14:paraId="2C26CA89" w14:textId="77777777" w:rsidR="00136313" w:rsidRPr="009443D3" w:rsidRDefault="00136313" w:rsidP="00E01C4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20"/>
                <w:szCs w:val="20"/>
                <w:lang w:eastAsia="en-GB"/>
              </w:rPr>
            </w:pPr>
            <w:r w:rsidRPr="009443D3">
              <w:rPr>
                <w:rFonts w:eastAsia="Times New Roman" w:cstheme="minorHAnsi"/>
                <w:b/>
                <w:bCs/>
                <w:i/>
                <w:iCs/>
                <w:sz w:val="20"/>
                <w:szCs w:val="20"/>
                <w:lang w:eastAsia="en-GB"/>
              </w:rPr>
              <w:t>25.3%</w:t>
            </w:r>
          </w:p>
        </w:tc>
      </w:tr>
      <w:tr w:rsidR="00136313" w:rsidRPr="009443D3" w14:paraId="01525E70" w14:textId="77777777" w:rsidTr="008323B9">
        <w:trPr>
          <w:trHeight w:val="288"/>
        </w:trPr>
        <w:tc>
          <w:tcPr>
            <w:cnfStyle w:val="001000000000" w:firstRow="0" w:lastRow="0" w:firstColumn="1" w:lastColumn="0" w:oddVBand="0" w:evenVBand="0" w:oddHBand="0" w:evenHBand="0" w:firstRowFirstColumn="0" w:firstRowLastColumn="0" w:lastRowFirstColumn="0" w:lastRowLastColumn="0"/>
            <w:tcW w:w="1413" w:type="dxa"/>
            <w:hideMark/>
          </w:tcPr>
          <w:p w14:paraId="24D4526B" w14:textId="77777777" w:rsidR="00136313" w:rsidRPr="009443D3" w:rsidRDefault="00136313" w:rsidP="008323B9">
            <w:pPr>
              <w:rPr>
                <w:rFonts w:ascii="Calibri" w:eastAsia="Times New Roman" w:hAnsi="Calibri" w:cs="Calibri"/>
                <w:sz w:val="20"/>
                <w:szCs w:val="20"/>
                <w:lang w:eastAsia="en-GB"/>
              </w:rPr>
            </w:pPr>
            <w:r w:rsidRPr="009443D3">
              <w:rPr>
                <w:rFonts w:ascii="Calibri" w:eastAsia="Times New Roman" w:hAnsi="Calibri" w:cs="Calibri"/>
                <w:sz w:val="20"/>
                <w:szCs w:val="20"/>
                <w:lang w:eastAsia="en-GB"/>
              </w:rPr>
              <w:t>30</w:t>
            </w:r>
            <w:r w:rsidRPr="009443D3">
              <w:rPr>
                <w:rFonts w:ascii="Calibri" w:eastAsia="Times New Roman" w:hAnsi="Calibri" w:cs="Calibri"/>
                <w:sz w:val="20"/>
                <w:szCs w:val="20"/>
                <w:vertAlign w:val="superscript"/>
                <w:lang w:eastAsia="en-GB"/>
              </w:rPr>
              <w:t>th</w:t>
            </w:r>
            <w:r>
              <w:rPr>
                <w:rFonts w:ascii="Calibri" w:eastAsia="Times New Roman" w:hAnsi="Calibri" w:cs="Calibri"/>
                <w:b w:val="0"/>
                <w:bCs w:val="0"/>
                <w:sz w:val="20"/>
                <w:szCs w:val="20"/>
                <w:lang w:eastAsia="en-GB"/>
              </w:rPr>
              <w:t xml:space="preserve"> </w:t>
            </w:r>
            <w:r w:rsidRPr="009443D3">
              <w:rPr>
                <w:rFonts w:ascii="Calibri" w:eastAsia="Times New Roman" w:hAnsi="Calibri" w:cs="Calibri"/>
                <w:sz w:val="20"/>
                <w:szCs w:val="20"/>
                <w:lang w:eastAsia="en-GB"/>
              </w:rPr>
              <w:t>Apr 2019</w:t>
            </w:r>
          </w:p>
        </w:tc>
        <w:tc>
          <w:tcPr>
            <w:tcW w:w="1093" w:type="dxa"/>
            <w:noWrap/>
            <w:hideMark/>
          </w:tcPr>
          <w:p w14:paraId="006A9782" w14:textId="77777777" w:rsidR="00136313" w:rsidRPr="009443D3" w:rsidRDefault="00136313" w:rsidP="008323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9443D3">
              <w:rPr>
                <w:rFonts w:eastAsia="Times New Roman" w:cstheme="minorHAnsi"/>
                <w:sz w:val="20"/>
                <w:szCs w:val="20"/>
                <w:lang w:eastAsia="en-GB"/>
              </w:rPr>
              <w:t>22.9%</w:t>
            </w:r>
          </w:p>
        </w:tc>
        <w:tc>
          <w:tcPr>
            <w:tcW w:w="1093" w:type="dxa"/>
            <w:noWrap/>
            <w:hideMark/>
          </w:tcPr>
          <w:p w14:paraId="14431864" w14:textId="77777777" w:rsidR="00136313" w:rsidRPr="009443D3" w:rsidRDefault="00136313" w:rsidP="008323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9443D3">
              <w:rPr>
                <w:rFonts w:eastAsia="Times New Roman" w:cstheme="minorHAnsi"/>
                <w:sz w:val="20"/>
                <w:szCs w:val="20"/>
                <w:lang w:eastAsia="en-GB"/>
              </w:rPr>
              <w:t>20.1%</w:t>
            </w:r>
          </w:p>
        </w:tc>
        <w:tc>
          <w:tcPr>
            <w:tcW w:w="1094" w:type="dxa"/>
            <w:noWrap/>
            <w:hideMark/>
          </w:tcPr>
          <w:p w14:paraId="6D0B76B7" w14:textId="77777777" w:rsidR="00136313" w:rsidRPr="009443D3" w:rsidRDefault="00136313" w:rsidP="008323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9443D3">
              <w:rPr>
                <w:rFonts w:eastAsia="Times New Roman" w:cstheme="minorHAnsi"/>
                <w:sz w:val="20"/>
                <w:szCs w:val="20"/>
                <w:lang w:eastAsia="en-GB"/>
              </w:rPr>
              <w:t>5.9%</w:t>
            </w:r>
          </w:p>
        </w:tc>
        <w:tc>
          <w:tcPr>
            <w:tcW w:w="1093" w:type="dxa"/>
            <w:noWrap/>
            <w:hideMark/>
          </w:tcPr>
          <w:p w14:paraId="6BD62D45" w14:textId="77777777" w:rsidR="00136313" w:rsidRPr="009443D3" w:rsidRDefault="00136313" w:rsidP="008323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9443D3">
              <w:rPr>
                <w:rFonts w:eastAsia="Times New Roman" w:cstheme="minorHAnsi"/>
                <w:sz w:val="20"/>
                <w:szCs w:val="20"/>
                <w:lang w:eastAsia="en-GB"/>
              </w:rPr>
              <w:t>28.0%</w:t>
            </w:r>
          </w:p>
        </w:tc>
        <w:tc>
          <w:tcPr>
            <w:tcW w:w="1094" w:type="dxa"/>
            <w:noWrap/>
            <w:hideMark/>
          </w:tcPr>
          <w:p w14:paraId="1293B01F" w14:textId="77777777" w:rsidR="00136313" w:rsidRPr="009443D3" w:rsidRDefault="00136313" w:rsidP="008323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9443D3">
              <w:rPr>
                <w:rFonts w:eastAsia="Times New Roman" w:cstheme="minorHAnsi"/>
                <w:sz w:val="20"/>
                <w:szCs w:val="20"/>
                <w:lang w:eastAsia="en-GB"/>
              </w:rPr>
              <w:t>26.0%</w:t>
            </w:r>
          </w:p>
        </w:tc>
        <w:tc>
          <w:tcPr>
            <w:tcW w:w="1195" w:type="dxa"/>
            <w:noWrap/>
            <w:hideMark/>
          </w:tcPr>
          <w:p w14:paraId="46D85912" w14:textId="77777777" w:rsidR="00136313" w:rsidRPr="009443D3" w:rsidRDefault="00136313" w:rsidP="008323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9443D3">
              <w:rPr>
                <w:rFonts w:eastAsia="Times New Roman" w:cstheme="minorHAnsi"/>
                <w:sz w:val="20"/>
                <w:szCs w:val="20"/>
                <w:lang w:eastAsia="en-GB"/>
              </w:rPr>
              <w:t>25.7%</w:t>
            </w:r>
          </w:p>
        </w:tc>
        <w:tc>
          <w:tcPr>
            <w:tcW w:w="1134" w:type="dxa"/>
            <w:noWrap/>
            <w:hideMark/>
          </w:tcPr>
          <w:p w14:paraId="74DDF023" w14:textId="77777777" w:rsidR="00136313" w:rsidRPr="009443D3" w:rsidRDefault="00136313" w:rsidP="008323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20"/>
                <w:szCs w:val="20"/>
                <w:lang w:eastAsia="en-GB"/>
              </w:rPr>
            </w:pPr>
            <w:r w:rsidRPr="009443D3">
              <w:rPr>
                <w:rFonts w:eastAsia="Times New Roman" w:cstheme="minorHAnsi"/>
                <w:b/>
                <w:bCs/>
                <w:i/>
                <w:iCs/>
                <w:sz w:val="20"/>
                <w:szCs w:val="20"/>
                <w:lang w:eastAsia="en-GB"/>
              </w:rPr>
              <w:t>25.0%</w:t>
            </w:r>
          </w:p>
        </w:tc>
      </w:tr>
      <w:tr w:rsidR="00136313" w:rsidRPr="009443D3" w14:paraId="73723D93" w14:textId="77777777" w:rsidTr="001F3D93">
        <w:trPr>
          <w:trHeight w:val="288"/>
        </w:trPr>
        <w:tc>
          <w:tcPr>
            <w:cnfStyle w:val="001000000000" w:firstRow="0" w:lastRow="0" w:firstColumn="1" w:lastColumn="0" w:oddVBand="0" w:evenVBand="0" w:oddHBand="0" w:evenHBand="0" w:firstRowFirstColumn="0" w:firstRowLastColumn="0" w:lastRowFirstColumn="0" w:lastRowLastColumn="0"/>
            <w:tcW w:w="1413" w:type="dxa"/>
            <w:hideMark/>
          </w:tcPr>
          <w:p w14:paraId="5CD3CDFA" w14:textId="77777777" w:rsidR="00136313" w:rsidRPr="009443D3" w:rsidRDefault="00136313" w:rsidP="001F3D93">
            <w:pPr>
              <w:rPr>
                <w:rFonts w:ascii="Calibri" w:eastAsia="Times New Roman" w:hAnsi="Calibri" w:cs="Calibri"/>
                <w:sz w:val="20"/>
                <w:szCs w:val="20"/>
                <w:lang w:eastAsia="en-GB"/>
              </w:rPr>
            </w:pPr>
            <w:r w:rsidRPr="009443D3">
              <w:rPr>
                <w:rFonts w:ascii="Calibri" w:eastAsia="Times New Roman" w:hAnsi="Calibri" w:cs="Calibri"/>
                <w:sz w:val="20"/>
                <w:szCs w:val="20"/>
                <w:lang w:eastAsia="en-GB"/>
              </w:rPr>
              <w:t>17</w:t>
            </w:r>
            <w:r w:rsidRPr="009443D3">
              <w:rPr>
                <w:rFonts w:ascii="Calibri" w:eastAsia="Times New Roman" w:hAnsi="Calibri" w:cs="Calibri"/>
                <w:sz w:val="20"/>
                <w:szCs w:val="20"/>
                <w:vertAlign w:val="superscript"/>
                <w:lang w:eastAsia="en-GB"/>
              </w:rPr>
              <w:t>th</w:t>
            </w:r>
            <w:r>
              <w:rPr>
                <w:rFonts w:ascii="Calibri" w:eastAsia="Times New Roman" w:hAnsi="Calibri" w:cs="Calibri"/>
                <w:b w:val="0"/>
                <w:bCs w:val="0"/>
                <w:sz w:val="20"/>
                <w:szCs w:val="20"/>
                <w:lang w:eastAsia="en-GB"/>
              </w:rPr>
              <w:t xml:space="preserve"> </w:t>
            </w:r>
            <w:r w:rsidRPr="009443D3">
              <w:rPr>
                <w:rFonts w:ascii="Calibri" w:eastAsia="Times New Roman" w:hAnsi="Calibri" w:cs="Calibri"/>
                <w:sz w:val="20"/>
                <w:szCs w:val="20"/>
                <w:lang w:eastAsia="en-GB"/>
              </w:rPr>
              <w:t>May 2020</w:t>
            </w:r>
          </w:p>
        </w:tc>
        <w:tc>
          <w:tcPr>
            <w:tcW w:w="1093" w:type="dxa"/>
            <w:noWrap/>
            <w:hideMark/>
          </w:tcPr>
          <w:p w14:paraId="4491D81F" w14:textId="77777777" w:rsidR="00136313" w:rsidRPr="009443D3" w:rsidRDefault="00136313" w:rsidP="001F3D9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9443D3">
              <w:rPr>
                <w:rFonts w:eastAsia="Times New Roman" w:cstheme="minorHAnsi"/>
                <w:sz w:val="20"/>
                <w:szCs w:val="20"/>
                <w:lang w:eastAsia="en-GB"/>
              </w:rPr>
              <w:t>21.7%</w:t>
            </w:r>
          </w:p>
        </w:tc>
        <w:tc>
          <w:tcPr>
            <w:tcW w:w="1093" w:type="dxa"/>
            <w:noWrap/>
            <w:hideMark/>
          </w:tcPr>
          <w:p w14:paraId="2A1CF11C" w14:textId="77777777" w:rsidR="00136313" w:rsidRPr="009443D3" w:rsidRDefault="00136313" w:rsidP="001F3D9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9443D3">
              <w:rPr>
                <w:rFonts w:eastAsia="Times New Roman" w:cstheme="minorHAnsi"/>
                <w:sz w:val="20"/>
                <w:szCs w:val="20"/>
                <w:lang w:eastAsia="en-GB"/>
              </w:rPr>
              <w:t>18.0%</w:t>
            </w:r>
          </w:p>
        </w:tc>
        <w:tc>
          <w:tcPr>
            <w:tcW w:w="1094" w:type="dxa"/>
            <w:noWrap/>
            <w:hideMark/>
          </w:tcPr>
          <w:p w14:paraId="335A7C77" w14:textId="77777777" w:rsidR="00136313" w:rsidRPr="009443D3" w:rsidRDefault="00136313" w:rsidP="001F3D9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9443D3">
              <w:rPr>
                <w:rFonts w:eastAsia="Times New Roman" w:cstheme="minorHAnsi"/>
                <w:sz w:val="20"/>
                <w:szCs w:val="20"/>
                <w:lang w:eastAsia="en-GB"/>
              </w:rPr>
              <w:t>8.7%</w:t>
            </w:r>
          </w:p>
        </w:tc>
        <w:tc>
          <w:tcPr>
            <w:tcW w:w="1093" w:type="dxa"/>
            <w:noWrap/>
            <w:hideMark/>
          </w:tcPr>
          <w:p w14:paraId="3165AB09" w14:textId="77777777" w:rsidR="00136313" w:rsidRPr="009443D3" w:rsidRDefault="00136313" w:rsidP="001F3D9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9443D3">
              <w:rPr>
                <w:rFonts w:eastAsia="Times New Roman" w:cstheme="minorHAnsi"/>
                <w:sz w:val="20"/>
                <w:szCs w:val="20"/>
                <w:lang w:eastAsia="en-GB"/>
              </w:rPr>
              <w:t>27.4%</w:t>
            </w:r>
          </w:p>
        </w:tc>
        <w:tc>
          <w:tcPr>
            <w:tcW w:w="1094" w:type="dxa"/>
            <w:noWrap/>
            <w:hideMark/>
          </w:tcPr>
          <w:p w14:paraId="245F4EE3" w14:textId="77777777" w:rsidR="00136313" w:rsidRPr="009443D3" w:rsidRDefault="00136313" w:rsidP="001F3D9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9443D3">
              <w:rPr>
                <w:rFonts w:eastAsia="Times New Roman" w:cstheme="minorHAnsi"/>
                <w:sz w:val="20"/>
                <w:szCs w:val="20"/>
                <w:lang w:eastAsia="en-GB"/>
              </w:rPr>
              <w:t>23.0%</w:t>
            </w:r>
          </w:p>
        </w:tc>
        <w:tc>
          <w:tcPr>
            <w:tcW w:w="1195" w:type="dxa"/>
            <w:noWrap/>
            <w:hideMark/>
          </w:tcPr>
          <w:p w14:paraId="77623367" w14:textId="77777777" w:rsidR="00136313" w:rsidRPr="009443D3" w:rsidRDefault="00136313" w:rsidP="001F3D9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9443D3">
              <w:rPr>
                <w:rFonts w:eastAsia="Times New Roman" w:cstheme="minorHAnsi"/>
                <w:sz w:val="20"/>
                <w:szCs w:val="20"/>
                <w:lang w:eastAsia="en-GB"/>
              </w:rPr>
              <w:t>22.3%</w:t>
            </w:r>
          </w:p>
        </w:tc>
        <w:tc>
          <w:tcPr>
            <w:tcW w:w="1134" w:type="dxa"/>
            <w:noWrap/>
            <w:hideMark/>
          </w:tcPr>
          <w:p w14:paraId="0D5AE790" w14:textId="77777777" w:rsidR="00136313" w:rsidRPr="009443D3" w:rsidRDefault="00136313" w:rsidP="001F3D9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20"/>
                <w:szCs w:val="20"/>
                <w:lang w:eastAsia="en-GB"/>
              </w:rPr>
            </w:pPr>
            <w:r w:rsidRPr="009443D3">
              <w:rPr>
                <w:rFonts w:eastAsia="Times New Roman" w:cstheme="minorHAnsi"/>
                <w:b/>
                <w:bCs/>
                <w:i/>
                <w:iCs/>
                <w:sz w:val="20"/>
                <w:szCs w:val="20"/>
                <w:lang w:eastAsia="en-GB"/>
              </w:rPr>
              <w:t>24.1%</w:t>
            </w:r>
          </w:p>
        </w:tc>
      </w:tr>
      <w:tr w:rsidR="00136313" w:rsidRPr="009443D3" w14:paraId="21F96414" w14:textId="77777777" w:rsidTr="00F26BBD">
        <w:trPr>
          <w:trHeight w:val="288"/>
        </w:trPr>
        <w:tc>
          <w:tcPr>
            <w:cnfStyle w:val="001000000000" w:firstRow="0" w:lastRow="0" w:firstColumn="1" w:lastColumn="0" w:oddVBand="0" w:evenVBand="0" w:oddHBand="0" w:evenHBand="0" w:firstRowFirstColumn="0" w:firstRowLastColumn="0" w:lastRowFirstColumn="0" w:lastRowLastColumn="0"/>
            <w:tcW w:w="1413" w:type="dxa"/>
            <w:hideMark/>
          </w:tcPr>
          <w:p w14:paraId="18F725A5" w14:textId="77777777" w:rsidR="00136313" w:rsidRPr="009443D3" w:rsidRDefault="00136313" w:rsidP="00F26BBD">
            <w:pPr>
              <w:rPr>
                <w:rFonts w:ascii="Calibri" w:eastAsia="Times New Roman" w:hAnsi="Calibri" w:cs="Calibri"/>
                <w:sz w:val="20"/>
                <w:szCs w:val="20"/>
                <w:lang w:eastAsia="en-GB"/>
              </w:rPr>
            </w:pPr>
            <w:r w:rsidRPr="009443D3">
              <w:rPr>
                <w:rFonts w:ascii="Calibri" w:eastAsia="Times New Roman" w:hAnsi="Calibri" w:cs="Calibri"/>
                <w:sz w:val="20"/>
                <w:szCs w:val="20"/>
                <w:lang w:eastAsia="en-GB"/>
              </w:rPr>
              <w:t>30</w:t>
            </w:r>
            <w:r w:rsidRPr="009443D3">
              <w:rPr>
                <w:rFonts w:ascii="Calibri" w:eastAsia="Times New Roman" w:hAnsi="Calibri" w:cs="Calibri"/>
                <w:sz w:val="20"/>
                <w:szCs w:val="20"/>
                <w:vertAlign w:val="superscript"/>
                <w:lang w:eastAsia="en-GB"/>
              </w:rPr>
              <w:t>th</w:t>
            </w:r>
            <w:r>
              <w:rPr>
                <w:rFonts w:ascii="Calibri" w:eastAsia="Times New Roman" w:hAnsi="Calibri" w:cs="Calibri"/>
                <w:b w:val="0"/>
                <w:bCs w:val="0"/>
                <w:sz w:val="20"/>
                <w:szCs w:val="20"/>
                <w:lang w:eastAsia="en-GB"/>
              </w:rPr>
              <w:t xml:space="preserve"> </w:t>
            </w:r>
            <w:r w:rsidRPr="009443D3">
              <w:rPr>
                <w:rFonts w:ascii="Calibri" w:eastAsia="Times New Roman" w:hAnsi="Calibri" w:cs="Calibri"/>
                <w:sz w:val="20"/>
                <w:szCs w:val="20"/>
                <w:lang w:eastAsia="en-GB"/>
              </w:rPr>
              <w:t>Ap</w:t>
            </w:r>
            <w:r>
              <w:rPr>
                <w:rFonts w:ascii="Calibri" w:eastAsia="Times New Roman" w:hAnsi="Calibri" w:cs="Calibri"/>
                <w:b w:val="0"/>
                <w:bCs w:val="0"/>
                <w:sz w:val="20"/>
                <w:szCs w:val="20"/>
                <w:lang w:eastAsia="en-GB"/>
              </w:rPr>
              <w:t>r</w:t>
            </w:r>
            <w:r w:rsidRPr="009443D3">
              <w:rPr>
                <w:rFonts w:ascii="Calibri" w:eastAsia="Times New Roman" w:hAnsi="Calibri" w:cs="Calibri"/>
                <w:sz w:val="20"/>
                <w:szCs w:val="20"/>
                <w:lang w:eastAsia="en-GB"/>
              </w:rPr>
              <w:t xml:space="preserve"> 2021</w:t>
            </w:r>
          </w:p>
        </w:tc>
        <w:tc>
          <w:tcPr>
            <w:tcW w:w="1093" w:type="dxa"/>
            <w:noWrap/>
            <w:hideMark/>
          </w:tcPr>
          <w:p w14:paraId="5C6BDCEB" w14:textId="77777777" w:rsidR="00136313" w:rsidRPr="009443D3" w:rsidRDefault="00136313" w:rsidP="00F26BB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9443D3">
              <w:rPr>
                <w:rFonts w:eastAsia="Times New Roman" w:cstheme="minorHAnsi"/>
                <w:sz w:val="20"/>
                <w:szCs w:val="20"/>
                <w:lang w:eastAsia="en-GB"/>
              </w:rPr>
              <w:t>22.6%</w:t>
            </w:r>
          </w:p>
        </w:tc>
        <w:tc>
          <w:tcPr>
            <w:tcW w:w="1093" w:type="dxa"/>
            <w:noWrap/>
            <w:hideMark/>
          </w:tcPr>
          <w:p w14:paraId="31070321" w14:textId="77777777" w:rsidR="00136313" w:rsidRPr="009443D3" w:rsidRDefault="00136313" w:rsidP="00F26BB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9443D3">
              <w:rPr>
                <w:rFonts w:eastAsia="Times New Roman" w:cstheme="minorHAnsi"/>
                <w:sz w:val="20"/>
                <w:szCs w:val="20"/>
                <w:lang w:eastAsia="en-GB"/>
              </w:rPr>
              <w:t>15.9%</w:t>
            </w:r>
          </w:p>
        </w:tc>
        <w:tc>
          <w:tcPr>
            <w:tcW w:w="1094" w:type="dxa"/>
            <w:noWrap/>
            <w:hideMark/>
          </w:tcPr>
          <w:p w14:paraId="750FE812" w14:textId="77777777" w:rsidR="00136313" w:rsidRPr="009443D3" w:rsidRDefault="00136313" w:rsidP="00F26BB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9443D3">
              <w:rPr>
                <w:rFonts w:eastAsia="Times New Roman" w:cstheme="minorHAnsi"/>
                <w:sz w:val="20"/>
                <w:szCs w:val="20"/>
                <w:lang w:eastAsia="en-GB"/>
              </w:rPr>
              <w:t>10.0%</w:t>
            </w:r>
          </w:p>
        </w:tc>
        <w:tc>
          <w:tcPr>
            <w:tcW w:w="1093" w:type="dxa"/>
            <w:noWrap/>
            <w:hideMark/>
          </w:tcPr>
          <w:p w14:paraId="7E46E7A2" w14:textId="77777777" w:rsidR="00136313" w:rsidRPr="009443D3" w:rsidRDefault="00136313" w:rsidP="00F26BB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9443D3">
              <w:rPr>
                <w:rFonts w:eastAsia="Times New Roman" w:cstheme="minorHAnsi"/>
                <w:sz w:val="20"/>
                <w:szCs w:val="20"/>
                <w:lang w:eastAsia="en-GB"/>
              </w:rPr>
              <w:t>27.1%</w:t>
            </w:r>
          </w:p>
        </w:tc>
        <w:tc>
          <w:tcPr>
            <w:tcW w:w="1094" w:type="dxa"/>
            <w:noWrap/>
            <w:hideMark/>
          </w:tcPr>
          <w:p w14:paraId="01311DAD" w14:textId="77777777" w:rsidR="00136313" w:rsidRPr="009443D3" w:rsidRDefault="00136313" w:rsidP="00F26BB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9443D3">
              <w:rPr>
                <w:rFonts w:eastAsia="Times New Roman" w:cstheme="minorHAnsi"/>
                <w:sz w:val="20"/>
                <w:szCs w:val="20"/>
                <w:lang w:eastAsia="en-GB"/>
              </w:rPr>
              <w:t>22.5%</w:t>
            </w:r>
          </w:p>
        </w:tc>
        <w:tc>
          <w:tcPr>
            <w:tcW w:w="1195" w:type="dxa"/>
            <w:noWrap/>
            <w:hideMark/>
          </w:tcPr>
          <w:p w14:paraId="544C3802" w14:textId="77777777" w:rsidR="00136313" w:rsidRPr="009443D3" w:rsidRDefault="00136313" w:rsidP="00F26BB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9443D3">
              <w:rPr>
                <w:rFonts w:eastAsia="Times New Roman" w:cstheme="minorHAnsi"/>
                <w:sz w:val="20"/>
                <w:szCs w:val="20"/>
                <w:lang w:eastAsia="en-GB"/>
              </w:rPr>
              <w:t>21.7%</w:t>
            </w:r>
          </w:p>
        </w:tc>
        <w:tc>
          <w:tcPr>
            <w:tcW w:w="1134" w:type="dxa"/>
            <w:noWrap/>
            <w:hideMark/>
          </w:tcPr>
          <w:p w14:paraId="0B0D8D7B" w14:textId="77777777" w:rsidR="00136313" w:rsidRPr="009443D3" w:rsidRDefault="00136313" w:rsidP="00F26BB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20"/>
                <w:szCs w:val="20"/>
                <w:lang w:eastAsia="en-GB"/>
              </w:rPr>
            </w:pPr>
            <w:r w:rsidRPr="009443D3">
              <w:rPr>
                <w:rFonts w:eastAsia="Times New Roman" w:cstheme="minorHAnsi"/>
                <w:b/>
                <w:bCs/>
                <w:i/>
                <w:iCs/>
                <w:sz w:val="20"/>
                <w:szCs w:val="20"/>
                <w:lang w:eastAsia="en-GB"/>
              </w:rPr>
              <w:t>24.3%</w:t>
            </w:r>
          </w:p>
        </w:tc>
      </w:tr>
      <w:tr w:rsidR="00136313" w:rsidRPr="009443D3" w14:paraId="0F808293" w14:textId="77777777" w:rsidTr="00AD6DEB">
        <w:trPr>
          <w:trHeight w:val="288"/>
        </w:trPr>
        <w:tc>
          <w:tcPr>
            <w:cnfStyle w:val="001000000000" w:firstRow="0" w:lastRow="0" w:firstColumn="1" w:lastColumn="0" w:oddVBand="0" w:evenVBand="0" w:oddHBand="0" w:evenHBand="0" w:firstRowFirstColumn="0" w:firstRowLastColumn="0" w:lastRowFirstColumn="0" w:lastRowLastColumn="0"/>
            <w:tcW w:w="1413" w:type="dxa"/>
            <w:hideMark/>
          </w:tcPr>
          <w:p w14:paraId="732D06EE" w14:textId="77777777" w:rsidR="00136313" w:rsidRPr="009443D3" w:rsidRDefault="00136313" w:rsidP="00AD6DEB">
            <w:pPr>
              <w:rPr>
                <w:rFonts w:ascii="Calibri" w:eastAsia="Times New Roman" w:hAnsi="Calibri" w:cs="Calibri"/>
                <w:sz w:val="20"/>
                <w:szCs w:val="20"/>
                <w:lang w:eastAsia="en-GB"/>
              </w:rPr>
            </w:pPr>
            <w:r w:rsidRPr="009443D3">
              <w:rPr>
                <w:rFonts w:ascii="Calibri" w:eastAsia="Times New Roman" w:hAnsi="Calibri" w:cs="Calibri"/>
                <w:sz w:val="20"/>
                <w:szCs w:val="20"/>
                <w:lang w:eastAsia="en-GB"/>
              </w:rPr>
              <w:t>30</w:t>
            </w:r>
            <w:r w:rsidRPr="009443D3">
              <w:rPr>
                <w:rFonts w:ascii="Calibri" w:eastAsia="Times New Roman" w:hAnsi="Calibri" w:cs="Calibri"/>
                <w:sz w:val="20"/>
                <w:szCs w:val="20"/>
                <w:vertAlign w:val="superscript"/>
                <w:lang w:eastAsia="en-GB"/>
              </w:rPr>
              <w:t>th</w:t>
            </w:r>
            <w:r w:rsidRPr="009443D3">
              <w:rPr>
                <w:rFonts w:ascii="Calibri" w:eastAsia="Times New Roman" w:hAnsi="Calibri" w:cs="Calibri"/>
                <w:sz w:val="20"/>
                <w:szCs w:val="20"/>
                <w:lang w:eastAsia="en-GB"/>
              </w:rPr>
              <w:t xml:space="preserve"> Apr 2022</w:t>
            </w:r>
          </w:p>
        </w:tc>
        <w:tc>
          <w:tcPr>
            <w:tcW w:w="1093" w:type="dxa"/>
            <w:noWrap/>
            <w:hideMark/>
          </w:tcPr>
          <w:p w14:paraId="216FBD2B" w14:textId="77777777" w:rsidR="00136313" w:rsidRPr="009443D3" w:rsidRDefault="00136313" w:rsidP="00AD6DE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9443D3">
              <w:rPr>
                <w:rFonts w:eastAsia="Times New Roman" w:cstheme="minorHAnsi"/>
                <w:sz w:val="20"/>
                <w:szCs w:val="20"/>
                <w:lang w:eastAsia="en-GB"/>
              </w:rPr>
              <w:t>21.2%</w:t>
            </w:r>
          </w:p>
        </w:tc>
        <w:tc>
          <w:tcPr>
            <w:tcW w:w="1093" w:type="dxa"/>
            <w:noWrap/>
            <w:hideMark/>
          </w:tcPr>
          <w:p w14:paraId="56B8D2E4" w14:textId="77777777" w:rsidR="00136313" w:rsidRPr="009443D3" w:rsidRDefault="00136313" w:rsidP="00AD6DE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9443D3">
              <w:rPr>
                <w:rFonts w:eastAsia="Times New Roman" w:cstheme="minorHAnsi"/>
                <w:sz w:val="20"/>
                <w:szCs w:val="20"/>
                <w:lang w:eastAsia="en-GB"/>
              </w:rPr>
              <w:t>16.0%</w:t>
            </w:r>
          </w:p>
        </w:tc>
        <w:tc>
          <w:tcPr>
            <w:tcW w:w="1094" w:type="dxa"/>
            <w:noWrap/>
            <w:hideMark/>
          </w:tcPr>
          <w:p w14:paraId="0B7F5E7B" w14:textId="77777777" w:rsidR="00136313" w:rsidRPr="009443D3" w:rsidRDefault="00136313" w:rsidP="00AD6DE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9443D3">
              <w:rPr>
                <w:rFonts w:eastAsia="Times New Roman" w:cstheme="minorHAnsi"/>
                <w:sz w:val="20"/>
                <w:szCs w:val="20"/>
                <w:lang w:eastAsia="en-GB"/>
              </w:rPr>
              <w:t>8.9%</w:t>
            </w:r>
          </w:p>
        </w:tc>
        <w:tc>
          <w:tcPr>
            <w:tcW w:w="1093" w:type="dxa"/>
            <w:noWrap/>
            <w:hideMark/>
          </w:tcPr>
          <w:p w14:paraId="30584C82" w14:textId="77777777" w:rsidR="00136313" w:rsidRPr="009443D3" w:rsidRDefault="00136313" w:rsidP="00AD6DE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9443D3">
              <w:rPr>
                <w:rFonts w:eastAsia="Times New Roman" w:cstheme="minorHAnsi"/>
                <w:sz w:val="20"/>
                <w:szCs w:val="20"/>
                <w:lang w:eastAsia="en-GB"/>
              </w:rPr>
              <w:t>25.4%</w:t>
            </w:r>
          </w:p>
        </w:tc>
        <w:tc>
          <w:tcPr>
            <w:tcW w:w="1094" w:type="dxa"/>
            <w:noWrap/>
            <w:hideMark/>
          </w:tcPr>
          <w:p w14:paraId="467BD711" w14:textId="77777777" w:rsidR="00136313" w:rsidRPr="009443D3" w:rsidRDefault="00136313" w:rsidP="00AD6DE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9443D3">
              <w:rPr>
                <w:rFonts w:eastAsia="Times New Roman" w:cstheme="minorHAnsi"/>
                <w:sz w:val="20"/>
                <w:szCs w:val="20"/>
                <w:lang w:eastAsia="en-GB"/>
              </w:rPr>
              <w:t>22.1%</w:t>
            </w:r>
          </w:p>
        </w:tc>
        <w:tc>
          <w:tcPr>
            <w:tcW w:w="1195" w:type="dxa"/>
            <w:noWrap/>
            <w:hideMark/>
          </w:tcPr>
          <w:p w14:paraId="17F677BA" w14:textId="77777777" w:rsidR="00136313" w:rsidRPr="009443D3" w:rsidRDefault="00136313" w:rsidP="00AD6DE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9443D3">
              <w:rPr>
                <w:rFonts w:eastAsia="Times New Roman" w:cstheme="minorHAnsi"/>
                <w:sz w:val="20"/>
                <w:szCs w:val="20"/>
                <w:lang w:eastAsia="en-GB"/>
              </w:rPr>
              <w:t>21.1%</w:t>
            </w:r>
          </w:p>
        </w:tc>
        <w:tc>
          <w:tcPr>
            <w:tcW w:w="1134" w:type="dxa"/>
            <w:noWrap/>
            <w:hideMark/>
          </w:tcPr>
          <w:p w14:paraId="655BD829" w14:textId="77777777" w:rsidR="00136313" w:rsidRPr="009443D3" w:rsidRDefault="00136313" w:rsidP="00AD6DE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20"/>
                <w:szCs w:val="20"/>
                <w:lang w:eastAsia="en-GB"/>
              </w:rPr>
            </w:pPr>
            <w:r w:rsidRPr="009443D3">
              <w:rPr>
                <w:rFonts w:eastAsia="Times New Roman" w:cstheme="minorHAnsi"/>
                <w:b/>
                <w:bCs/>
                <w:i/>
                <w:iCs/>
                <w:sz w:val="20"/>
                <w:szCs w:val="20"/>
                <w:lang w:eastAsia="en-GB"/>
              </w:rPr>
              <w:t>20.2%</w:t>
            </w:r>
          </w:p>
        </w:tc>
      </w:tr>
      <w:tr w:rsidR="00136313" w:rsidRPr="009443D3" w14:paraId="6D915990" w14:textId="77777777" w:rsidTr="00DD3602">
        <w:trPr>
          <w:trHeight w:val="288"/>
        </w:trPr>
        <w:tc>
          <w:tcPr>
            <w:cnfStyle w:val="001000000000" w:firstRow="0" w:lastRow="0" w:firstColumn="1" w:lastColumn="0" w:oddVBand="0" w:evenVBand="0" w:oddHBand="0" w:evenHBand="0" w:firstRowFirstColumn="0" w:firstRowLastColumn="0" w:lastRowFirstColumn="0" w:lastRowLastColumn="0"/>
            <w:tcW w:w="1413" w:type="dxa"/>
            <w:hideMark/>
          </w:tcPr>
          <w:p w14:paraId="28B96010" w14:textId="77777777" w:rsidR="00136313" w:rsidRPr="009443D3" w:rsidRDefault="00136313" w:rsidP="00DD3602">
            <w:pPr>
              <w:rPr>
                <w:rFonts w:ascii="Calibri" w:eastAsia="Times New Roman" w:hAnsi="Calibri" w:cs="Calibri"/>
                <w:sz w:val="20"/>
                <w:szCs w:val="20"/>
                <w:lang w:eastAsia="en-GB"/>
              </w:rPr>
            </w:pPr>
            <w:r w:rsidRPr="009443D3">
              <w:rPr>
                <w:rFonts w:ascii="Calibri" w:eastAsia="Times New Roman" w:hAnsi="Calibri" w:cs="Calibri"/>
                <w:sz w:val="20"/>
                <w:szCs w:val="20"/>
                <w:lang w:eastAsia="en-GB"/>
              </w:rPr>
              <w:t>30</w:t>
            </w:r>
            <w:r w:rsidRPr="009443D3">
              <w:rPr>
                <w:rFonts w:ascii="Calibri" w:eastAsia="Times New Roman" w:hAnsi="Calibri" w:cs="Calibri"/>
                <w:sz w:val="20"/>
                <w:szCs w:val="20"/>
                <w:vertAlign w:val="superscript"/>
                <w:lang w:eastAsia="en-GB"/>
              </w:rPr>
              <w:t>th</w:t>
            </w:r>
            <w:r>
              <w:rPr>
                <w:rFonts w:ascii="Calibri" w:eastAsia="Times New Roman" w:hAnsi="Calibri" w:cs="Calibri"/>
                <w:b w:val="0"/>
                <w:bCs w:val="0"/>
                <w:sz w:val="20"/>
                <w:szCs w:val="20"/>
                <w:lang w:eastAsia="en-GB"/>
              </w:rPr>
              <w:t xml:space="preserve"> </w:t>
            </w:r>
            <w:r w:rsidRPr="009443D3">
              <w:rPr>
                <w:rFonts w:ascii="Calibri" w:eastAsia="Times New Roman" w:hAnsi="Calibri" w:cs="Calibri"/>
                <w:sz w:val="20"/>
                <w:szCs w:val="20"/>
                <w:lang w:eastAsia="en-GB"/>
              </w:rPr>
              <w:t>Apr 2023</w:t>
            </w:r>
          </w:p>
        </w:tc>
        <w:tc>
          <w:tcPr>
            <w:tcW w:w="1093" w:type="dxa"/>
            <w:noWrap/>
            <w:hideMark/>
          </w:tcPr>
          <w:p w14:paraId="6AA71A54" w14:textId="77777777" w:rsidR="00136313" w:rsidRPr="009443D3" w:rsidRDefault="00136313" w:rsidP="00DD360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9443D3">
              <w:rPr>
                <w:rFonts w:eastAsia="Times New Roman" w:cstheme="minorHAnsi"/>
                <w:sz w:val="20"/>
                <w:szCs w:val="20"/>
                <w:lang w:eastAsia="en-GB"/>
              </w:rPr>
              <w:t>17.5%</w:t>
            </w:r>
          </w:p>
        </w:tc>
        <w:tc>
          <w:tcPr>
            <w:tcW w:w="1093" w:type="dxa"/>
            <w:noWrap/>
            <w:hideMark/>
          </w:tcPr>
          <w:p w14:paraId="27AA0486" w14:textId="77777777" w:rsidR="00136313" w:rsidRPr="009443D3" w:rsidRDefault="00136313" w:rsidP="00DD360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9443D3">
              <w:rPr>
                <w:rFonts w:eastAsia="Times New Roman" w:cstheme="minorHAnsi"/>
                <w:sz w:val="20"/>
                <w:szCs w:val="20"/>
                <w:lang w:eastAsia="en-GB"/>
              </w:rPr>
              <w:t>16.5%</w:t>
            </w:r>
          </w:p>
        </w:tc>
        <w:tc>
          <w:tcPr>
            <w:tcW w:w="1094" w:type="dxa"/>
            <w:noWrap/>
            <w:hideMark/>
          </w:tcPr>
          <w:p w14:paraId="407C53C2" w14:textId="77777777" w:rsidR="00136313" w:rsidRPr="009443D3" w:rsidRDefault="00136313" w:rsidP="00DD360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9443D3">
              <w:rPr>
                <w:rFonts w:eastAsia="Times New Roman" w:cstheme="minorHAnsi"/>
                <w:sz w:val="20"/>
                <w:szCs w:val="20"/>
                <w:lang w:eastAsia="en-GB"/>
              </w:rPr>
              <w:t>10.8%</w:t>
            </w:r>
          </w:p>
        </w:tc>
        <w:tc>
          <w:tcPr>
            <w:tcW w:w="1093" w:type="dxa"/>
            <w:noWrap/>
            <w:hideMark/>
          </w:tcPr>
          <w:p w14:paraId="7CA61376" w14:textId="77777777" w:rsidR="00136313" w:rsidRPr="009443D3" w:rsidRDefault="00136313" w:rsidP="00DD360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9443D3">
              <w:rPr>
                <w:rFonts w:eastAsia="Times New Roman" w:cstheme="minorHAnsi"/>
                <w:sz w:val="20"/>
                <w:szCs w:val="20"/>
                <w:lang w:eastAsia="en-GB"/>
              </w:rPr>
              <w:t>25.2%</w:t>
            </w:r>
          </w:p>
        </w:tc>
        <w:tc>
          <w:tcPr>
            <w:tcW w:w="1094" w:type="dxa"/>
            <w:noWrap/>
            <w:hideMark/>
          </w:tcPr>
          <w:p w14:paraId="0A459BD8" w14:textId="77777777" w:rsidR="00136313" w:rsidRPr="009443D3" w:rsidRDefault="00136313" w:rsidP="00DD360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9443D3">
              <w:rPr>
                <w:rFonts w:eastAsia="Times New Roman" w:cstheme="minorHAnsi"/>
                <w:sz w:val="20"/>
                <w:szCs w:val="20"/>
                <w:lang w:eastAsia="en-GB"/>
              </w:rPr>
              <w:t>20.1%</w:t>
            </w:r>
          </w:p>
        </w:tc>
        <w:tc>
          <w:tcPr>
            <w:tcW w:w="1195" w:type="dxa"/>
            <w:noWrap/>
            <w:hideMark/>
          </w:tcPr>
          <w:p w14:paraId="2B785841" w14:textId="77777777" w:rsidR="00136313" w:rsidRPr="009443D3" w:rsidRDefault="00136313" w:rsidP="00DD360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9443D3">
              <w:rPr>
                <w:rFonts w:eastAsia="Times New Roman" w:cstheme="minorHAnsi"/>
                <w:sz w:val="20"/>
                <w:szCs w:val="20"/>
                <w:lang w:eastAsia="en-GB"/>
              </w:rPr>
              <w:t>20.6%</w:t>
            </w:r>
          </w:p>
        </w:tc>
        <w:tc>
          <w:tcPr>
            <w:tcW w:w="1134" w:type="dxa"/>
            <w:noWrap/>
            <w:hideMark/>
          </w:tcPr>
          <w:p w14:paraId="42DE8496" w14:textId="77777777" w:rsidR="00136313" w:rsidRPr="009443D3" w:rsidRDefault="00136313" w:rsidP="00DD360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20"/>
                <w:szCs w:val="20"/>
                <w:lang w:eastAsia="en-GB"/>
              </w:rPr>
            </w:pPr>
            <w:r w:rsidRPr="009443D3">
              <w:rPr>
                <w:rFonts w:eastAsia="Times New Roman" w:cstheme="minorHAnsi"/>
                <w:b/>
                <w:bCs/>
                <w:i/>
                <w:iCs/>
                <w:sz w:val="20"/>
                <w:szCs w:val="20"/>
                <w:lang w:eastAsia="en-GB"/>
              </w:rPr>
              <w:t>22.4%</w:t>
            </w:r>
          </w:p>
        </w:tc>
      </w:tr>
      <w:tr w:rsidR="00136313" w:rsidRPr="009443D3" w14:paraId="3AE5186E" w14:textId="77777777" w:rsidTr="00783CB2">
        <w:trPr>
          <w:trHeight w:val="288"/>
        </w:trPr>
        <w:tc>
          <w:tcPr>
            <w:cnfStyle w:val="001000000000" w:firstRow="0" w:lastRow="0" w:firstColumn="1" w:lastColumn="0" w:oddVBand="0" w:evenVBand="0" w:oddHBand="0" w:evenHBand="0" w:firstRowFirstColumn="0" w:firstRowLastColumn="0" w:lastRowFirstColumn="0" w:lastRowLastColumn="0"/>
            <w:tcW w:w="1413" w:type="dxa"/>
          </w:tcPr>
          <w:p w14:paraId="4DBBA45B" w14:textId="77777777" w:rsidR="00136313" w:rsidRPr="009443D3" w:rsidRDefault="00136313" w:rsidP="00783CB2">
            <w:pPr>
              <w:rPr>
                <w:rFonts w:ascii="Calibri" w:eastAsia="Times New Roman" w:hAnsi="Calibri" w:cs="Calibri"/>
                <w:b w:val="0"/>
                <w:bCs w:val="0"/>
                <w:sz w:val="20"/>
                <w:szCs w:val="20"/>
                <w:lang w:eastAsia="en-GB"/>
              </w:rPr>
            </w:pPr>
            <w:r w:rsidRPr="009443D3">
              <w:rPr>
                <w:rFonts w:ascii="Calibri" w:eastAsia="Times New Roman" w:hAnsi="Calibri" w:cs="Calibri"/>
                <w:sz w:val="20"/>
                <w:szCs w:val="20"/>
                <w:lang w:eastAsia="en-GB"/>
              </w:rPr>
              <w:t>30</w:t>
            </w:r>
            <w:r w:rsidRPr="009443D3">
              <w:rPr>
                <w:rFonts w:ascii="Calibri" w:eastAsia="Times New Roman" w:hAnsi="Calibri" w:cs="Calibri"/>
                <w:sz w:val="20"/>
                <w:szCs w:val="20"/>
                <w:vertAlign w:val="superscript"/>
                <w:lang w:eastAsia="en-GB"/>
              </w:rPr>
              <w:t>th</w:t>
            </w:r>
            <w:r>
              <w:rPr>
                <w:rFonts w:ascii="Calibri" w:eastAsia="Times New Roman" w:hAnsi="Calibri" w:cs="Calibri"/>
                <w:b w:val="0"/>
                <w:bCs w:val="0"/>
                <w:sz w:val="20"/>
                <w:szCs w:val="20"/>
                <w:lang w:eastAsia="en-GB"/>
              </w:rPr>
              <w:t xml:space="preserve"> </w:t>
            </w:r>
            <w:r w:rsidRPr="009443D3">
              <w:rPr>
                <w:rFonts w:ascii="Calibri" w:eastAsia="Times New Roman" w:hAnsi="Calibri" w:cs="Calibri"/>
                <w:sz w:val="20"/>
                <w:szCs w:val="20"/>
                <w:lang w:eastAsia="en-GB"/>
              </w:rPr>
              <w:t>Apr 2024</w:t>
            </w:r>
          </w:p>
        </w:tc>
        <w:tc>
          <w:tcPr>
            <w:tcW w:w="1093" w:type="dxa"/>
            <w:noWrap/>
          </w:tcPr>
          <w:p w14:paraId="329D159F" w14:textId="77777777" w:rsidR="00136313" w:rsidRPr="00136313" w:rsidRDefault="00136313" w:rsidP="00783CB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9443D3">
              <w:rPr>
                <w:rFonts w:eastAsia="Times New Roman" w:cstheme="minorHAnsi"/>
                <w:sz w:val="20"/>
                <w:szCs w:val="20"/>
                <w:lang w:eastAsia="en-GB"/>
              </w:rPr>
              <w:t>16.4%</w:t>
            </w:r>
          </w:p>
        </w:tc>
        <w:tc>
          <w:tcPr>
            <w:tcW w:w="1093" w:type="dxa"/>
            <w:noWrap/>
          </w:tcPr>
          <w:p w14:paraId="4F533114" w14:textId="77777777" w:rsidR="00136313" w:rsidRPr="00136313" w:rsidRDefault="00136313" w:rsidP="00783CB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9443D3">
              <w:rPr>
                <w:rFonts w:eastAsia="Times New Roman" w:cstheme="minorHAnsi"/>
                <w:sz w:val="20"/>
                <w:szCs w:val="20"/>
                <w:lang w:eastAsia="en-GB"/>
              </w:rPr>
              <w:t>16.4%</w:t>
            </w:r>
          </w:p>
        </w:tc>
        <w:tc>
          <w:tcPr>
            <w:tcW w:w="1094" w:type="dxa"/>
            <w:noWrap/>
          </w:tcPr>
          <w:p w14:paraId="458EAE92" w14:textId="77777777" w:rsidR="00136313" w:rsidRPr="00136313" w:rsidRDefault="00136313" w:rsidP="00783CB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9443D3">
              <w:rPr>
                <w:rFonts w:eastAsia="Times New Roman" w:cstheme="minorHAnsi"/>
                <w:sz w:val="20"/>
                <w:szCs w:val="20"/>
                <w:lang w:eastAsia="en-GB"/>
              </w:rPr>
              <w:t>7.9%</w:t>
            </w:r>
          </w:p>
        </w:tc>
        <w:tc>
          <w:tcPr>
            <w:tcW w:w="1093" w:type="dxa"/>
            <w:noWrap/>
          </w:tcPr>
          <w:p w14:paraId="0DCBFCDF" w14:textId="77777777" w:rsidR="00136313" w:rsidRPr="00136313" w:rsidRDefault="00136313" w:rsidP="00783CB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9443D3">
              <w:rPr>
                <w:rFonts w:eastAsia="Times New Roman" w:cstheme="minorHAnsi"/>
                <w:sz w:val="20"/>
                <w:szCs w:val="20"/>
                <w:lang w:eastAsia="en-GB"/>
              </w:rPr>
              <w:t>24.4%</w:t>
            </w:r>
          </w:p>
        </w:tc>
        <w:tc>
          <w:tcPr>
            <w:tcW w:w="1094" w:type="dxa"/>
            <w:noWrap/>
          </w:tcPr>
          <w:p w14:paraId="65B0A4B7" w14:textId="77777777" w:rsidR="00136313" w:rsidRPr="00136313" w:rsidRDefault="00136313" w:rsidP="00783CB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9443D3">
              <w:rPr>
                <w:rFonts w:eastAsia="Times New Roman" w:cstheme="minorHAnsi"/>
                <w:sz w:val="20"/>
                <w:szCs w:val="20"/>
                <w:lang w:eastAsia="en-GB"/>
              </w:rPr>
              <w:t>21.1%</w:t>
            </w:r>
          </w:p>
        </w:tc>
        <w:tc>
          <w:tcPr>
            <w:tcW w:w="1195" w:type="dxa"/>
            <w:noWrap/>
          </w:tcPr>
          <w:p w14:paraId="44ABF90A" w14:textId="77777777" w:rsidR="00136313" w:rsidRPr="00136313" w:rsidRDefault="00136313" w:rsidP="00783CB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r w:rsidRPr="009443D3">
              <w:rPr>
                <w:rFonts w:eastAsia="Times New Roman" w:cstheme="minorHAnsi"/>
                <w:sz w:val="20"/>
                <w:szCs w:val="20"/>
                <w:lang w:eastAsia="en-GB"/>
              </w:rPr>
              <w:t>21.0%</w:t>
            </w:r>
          </w:p>
        </w:tc>
        <w:tc>
          <w:tcPr>
            <w:tcW w:w="1134" w:type="dxa"/>
            <w:noWrap/>
          </w:tcPr>
          <w:p w14:paraId="147DD871" w14:textId="77777777" w:rsidR="00136313" w:rsidRPr="00136313" w:rsidRDefault="00136313" w:rsidP="00783CB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i/>
                <w:iCs/>
                <w:sz w:val="20"/>
                <w:szCs w:val="20"/>
                <w:lang w:eastAsia="en-GB"/>
              </w:rPr>
            </w:pPr>
            <w:r w:rsidRPr="009443D3">
              <w:rPr>
                <w:rFonts w:eastAsia="Times New Roman" w:cstheme="minorHAnsi"/>
                <w:b/>
                <w:bCs/>
                <w:i/>
                <w:iCs/>
                <w:sz w:val="20"/>
                <w:szCs w:val="20"/>
                <w:lang w:eastAsia="en-GB"/>
              </w:rPr>
              <w:t>22.4%</w:t>
            </w:r>
          </w:p>
        </w:tc>
      </w:tr>
    </w:tbl>
    <w:p w14:paraId="48705CA9" w14:textId="6078BDBC" w:rsidR="009443D3" w:rsidRDefault="009443D3" w:rsidP="00956354">
      <w:r>
        <w:rPr>
          <w:i/>
          <w:sz w:val="20"/>
          <w:szCs w:val="20"/>
        </w:rPr>
        <w:t xml:space="preserve">Table 2: City/town centre non-domestic property vacancy rates between </w:t>
      </w:r>
      <w:r>
        <w:rPr>
          <w:i/>
          <w:sz w:val="20"/>
          <w:szCs w:val="20"/>
        </w:rPr>
        <w:t>30</w:t>
      </w:r>
      <w:r w:rsidRPr="009443D3">
        <w:rPr>
          <w:i/>
          <w:sz w:val="20"/>
          <w:szCs w:val="20"/>
          <w:vertAlign w:val="superscript"/>
        </w:rPr>
        <w:t>th</w:t>
      </w:r>
      <w:r>
        <w:rPr>
          <w:i/>
          <w:sz w:val="20"/>
          <w:szCs w:val="20"/>
        </w:rPr>
        <w:t xml:space="preserve"> April </w:t>
      </w:r>
      <w:r>
        <w:rPr>
          <w:i/>
          <w:sz w:val="20"/>
          <w:szCs w:val="20"/>
        </w:rPr>
        <w:t>2016 and 3</w:t>
      </w:r>
      <w:r>
        <w:rPr>
          <w:i/>
          <w:sz w:val="20"/>
          <w:szCs w:val="20"/>
        </w:rPr>
        <w:t>0</w:t>
      </w:r>
      <w:r w:rsidRPr="009443D3">
        <w:rPr>
          <w:i/>
          <w:sz w:val="20"/>
          <w:szCs w:val="20"/>
          <w:vertAlign w:val="superscript"/>
        </w:rPr>
        <w:t>th</w:t>
      </w:r>
      <w:r>
        <w:rPr>
          <w:i/>
          <w:sz w:val="20"/>
          <w:szCs w:val="20"/>
        </w:rPr>
        <w:t xml:space="preserve"> April </w:t>
      </w:r>
      <w:r>
        <w:rPr>
          <w:i/>
          <w:sz w:val="20"/>
          <w:szCs w:val="20"/>
        </w:rPr>
        <w:t>202</w:t>
      </w:r>
      <w:r>
        <w:rPr>
          <w:i/>
          <w:sz w:val="20"/>
          <w:szCs w:val="20"/>
        </w:rPr>
        <w:t>4</w:t>
      </w:r>
      <w:r w:rsidRPr="002A2185">
        <w:rPr>
          <w:i/>
          <w:sz w:val="20"/>
          <w:szCs w:val="20"/>
        </w:rPr>
        <w:t>. Source:</w:t>
      </w:r>
      <w:r>
        <w:rPr>
          <w:i/>
          <w:sz w:val="20"/>
          <w:szCs w:val="20"/>
        </w:rPr>
        <w:t xml:space="preserve"> Land and Property Services via Town Centre Database, Department for Communities</w:t>
      </w:r>
      <w:r w:rsidRPr="002A2185">
        <w:rPr>
          <w:i/>
          <w:sz w:val="20"/>
          <w:szCs w:val="20"/>
        </w:rPr>
        <w:t>.</w:t>
      </w:r>
    </w:p>
    <w:p w14:paraId="1D0DEA38" w14:textId="77777777" w:rsidR="009443D3" w:rsidRDefault="009443D3" w:rsidP="00956354"/>
    <w:p w14:paraId="48F6F2E0" w14:textId="3EB0F917" w:rsidR="0002582D" w:rsidRPr="0002582D" w:rsidRDefault="00C51627" w:rsidP="00AA2364">
      <w:r>
        <w:t xml:space="preserve">Of the 41 towns and cities contained within the Town Centre </w:t>
      </w:r>
      <w:r w:rsidR="00936C9E">
        <w:t xml:space="preserve">Database, Dromore </w:t>
      </w:r>
      <w:r w:rsidR="0002582D">
        <w:t xml:space="preserve">currently </w:t>
      </w:r>
      <w:r w:rsidR="00936C9E">
        <w:t xml:space="preserve">has the </w:t>
      </w:r>
      <w:r w:rsidR="0002582D">
        <w:t>third</w:t>
      </w:r>
      <w:r w:rsidR="00936C9E">
        <w:t xml:space="preserve"> </w:t>
      </w:r>
      <w:r>
        <w:t>highest</w:t>
      </w:r>
      <w:r w:rsidR="00AA2364">
        <w:t xml:space="preserve"> non-domestic property vacancy rate</w:t>
      </w:r>
      <w:r w:rsidR="004E798D">
        <w:t xml:space="preserve"> as </w:t>
      </w:r>
      <w:proofErr w:type="gramStart"/>
      <w:r w:rsidR="004E798D">
        <w:t>at</w:t>
      </w:r>
      <w:proofErr w:type="gramEnd"/>
      <w:r w:rsidR="004E798D">
        <w:t xml:space="preserve"> 3</w:t>
      </w:r>
      <w:r w:rsidR="0002582D">
        <w:t>0</w:t>
      </w:r>
      <w:r w:rsidR="0002582D" w:rsidRPr="0002582D">
        <w:rPr>
          <w:vertAlign w:val="superscript"/>
        </w:rPr>
        <w:t>th</w:t>
      </w:r>
      <w:r w:rsidR="0002582D">
        <w:t xml:space="preserve"> April 2024</w:t>
      </w:r>
      <w:r>
        <w:t xml:space="preserve">. </w:t>
      </w:r>
      <w:r w:rsidR="00B445E3">
        <w:t xml:space="preserve"> </w:t>
      </w:r>
      <w:r w:rsidR="0002582D">
        <w:t>Lurgan and</w:t>
      </w:r>
      <w:r w:rsidR="0002582D">
        <w:t xml:space="preserve"> </w:t>
      </w:r>
      <w:r w:rsidR="00936C9E">
        <w:t>Portadown</w:t>
      </w:r>
      <w:r w:rsidR="00663F9F">
        <w:t xml:space="preserve"> </w:t>
      </w:r>
      <w:r w:rsidR="00936C9E">
        <w:t xml:space="preserve">are ranked </w:t>
      </w:r>
      <w:r w:rsidR="004E798D">
        <w:t>ninth</w:t>
      </w:r>
      <w:r w:rsidR="00663F9F">
        <w:t xml:space="preserve"> and </w:t>
      </w:r>
      <w:r w:rsidR="004E798D">
        <w:t>t</w:t>
      </w:r>
      <w:r w:rsidR="0002582D">
        <w:t>enth</w:t>
      </w:r>
      <w:r w:rsidR="00AA2364">
        <w:t>. Craigavon has the</w:t>
      </w:r>
      <w:r w:rsidR="00936C9E">
        <w:t xml:space="preserve"> </w:t>
      </w:r>
      <w:r w:rsidR="0002582D">
        <w:t>second</w:t>
      </w:r>
      <w:r w:rsidR="00AA2364">
        <w:t xml:space="preserve"> lowest vacancy rate of the 41 towns and cities</w:t>
      </w:r>
      <w:r w:rsidR="00663F9F">
        <w:t xml:space="preserve"> at </w:t>
      </w:r>
      <w:r w:rsidR="0002582D">
        <w:t>7.9</w:t>
      </w:r>
      <w:r w:rsidR="00663F9F">
        <w:t>%</w:t>
      </w:r>
      <w:r w:rsidR="00AA2364">
        <w:t>.</w:t>
      </w:r>
      <w:r w:rsidR="00CA23AC">
        <w:t xml:space="preserve"> </w:t>
      </w:r>
      <w:r w:rsidR="0002582D">
        <w:t xml:space="preserve"> The town centre vacancy rates in all towns and cities in the Borough, except Dromore, fall below the Northern Ireland average. </w:t>
      </w:r>
    </w:p>
    <w:p w14:paraId="5D4DE07D" w14:textId="5FB2F952" w:rsidR="00AA2364" w:rsidRPr="00AA2364" w:rsidRDefault="0002582D" w:rsidP="00AA2364">
      <w:r>
        <w:rPr>
          <w:noProof/>
        </w:rPr>
        <w:drawing>
          <wp:inline distT="0" distB="0" distL="0" distR="0" wp14:anchorId="083AA5E9" wp14:editId="668C1FDF">
            <wp:extent cx="6048375" cy="3848100"/>
            <wp:effectExtent l="0" t="0" r="9525" b="0"/>
            <wp:docPr id="2022571329" name="Chart 1">
              <a:extLst xmlns:a="http://schemas.openxmlformats.org/drawingml/2006/main">
                <a:ext uri="{FF2B5EF4-FFF2-40B4-BE49-F238E27FC236}">
                  <a16:creationId xmlns:a16="http://schemas.microsoft.com/office/drawing/2014/main" id="{781093DD-A576-2FA9-D765-F86CAF133B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C07F07">
        <w:rPr>
          <w:i/>
          <w:sz w:val="20"/>
          <w:szCs w:val="20"/>
        </w:rPr>
        <w:t xml:space="preserve">Figure 2: </w:t>
      </w:r>
      <w:r w:rsidR="00AA2364">
        <w:rPr>
          <w:i/>
          <w:sz w:val="20"/>
          <w:szCs w:val="20"/>
        </w:rPr>
        <w:t>City/town centre non-domestic</w:t>
      </w:r>
      <w:r w:rsidR="007D43A5">
        <w:rPr>
          <w:i/>
          <w:sz w:val="20"/>
          <w:szCs w:val="20"/>
        </w:rPr>
        <w:t xml:space="preserve"> property vacancy rates as </w:t>
      </w:r>
      <w:proofErr w:type="gramStart"/>
      <w:r w:rsidR="007D43A5">
        <w:rPr>
          <w:i/>
          <w:sz w:val="20"/>
          <w:szCs w:val="20"/>
        </w:rPr>
        <w:t>at</w:t>
      </w:r>
      <w:proofErr w:type="gramEnd"/>
      <w:r w:rsidR="007D43A5">
        <w:rPr>
          <w:i/>
          <w:sz w:val="20"/>
          <w:szCs w:val="20"/>
        </w:rPr>
        <w:t xml:space="preserve"> </w:t>
      </w:r>
      <w:r>
        <w:rPr>
          <w:i/>
          <w:sz w:val="20"/>
          <w:szCs w:val="20"/>
        </w:rPr>
        <w:t>30</w:t>
      </w:r>
      <w:r w:rsidRPr="0002582D">
        <w:rPr>
          <w:i/>
          <w:sz w:val="20"/>
          <w:szCs w:val="20"/>
          <w:vertAlign w:val="superscript"/>
        </w:rPr>
        <w:t>th</w:t>
      </w:r>
      <w:r>
        <w:rPr>
          <w:i/>
          <w:sz w:val="20"/>
          <w:szCs w:val="20"/>
        </w:rPr>
        <w:t xml:space="preserve"> April 2024</w:t>
      </w:r>
      <w:r w:rsidR="00AA2364" w:rsidRPr="002A2185">
        <w:rPr>
          <w:i/>
          <w:sz w:val="20"/>
          <w:szCs w:val="20"/>
        </w:rPr>
        <w:t>. Source:</w:t>
      </w:r>
      <w:r w:rsidR="00AA2364">
        <w:rPr>
          <w:i/>
          <w:sz w:val="20"/>
          <w:szCs w:val="20"/>
        </w:rPr>
        <w:t xml:space="preserve"> Land and Property Services via Town Centre Database, Department for Communities</w:t>
      </w:r>
      <w:r w:rsidR="00AA2364" w:rsidRPr="002A2185">
        <w:rPr>
          <w:i/>
          <w:sz w:val="20"/>
          <w:szCs w:val="20"/>
        </w:rPr>
        <w:t>.</w:t>
      </w:r>
      <w:r w:rsidR="00AA2364">
        <w:rPr>
          <w:i/>
          <w:sz w:val="20"/>
          <w:szCs w:val="20"/>
        </w:rPr>
        <w:t xml:space="preserve"> </w:t>
      </w:r>
    </w:p>
    <w:p w14:paraId="0FA9FF11" w14:textId="77777777" w:rsidR="00AA2364" w:rsidRDefault="00AA2364" w:rsidP="00956354">
      <w:r>
        <w:t>Further information on town centre vacancy rates can be found via the following link:</w:t>
      </w:r>
    </w:p>
    <w:p w14:paraId="07AAF8FC" w14:textId="77777777" w:rsidR="00C51627" w:rsidRPr="00956354" w:rsidRDefault="007B5212" w:rsidP="00956354">
      <w:hyperlink r:id="rId8" w:history="1">
        <w:r w:rsidR="00AA2364">
          <w:rPr>
            <w:rStyle w:val="Hyperlink"/>
          </w:rPr>
          <w:t>https://www.communities-ni.gov.uk/publications/town-centre-database</w:t>
        </w:r>
      </w:hyperlink>
    </w:p>
    <w:sectPr w:rsidR="00C51627" w:rsidRPr="0095635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2A512" w14:textId="77777777" w:rsidR="00C07F07" w:rsidRDefault="00C07F07" w:rsidP="00C07F07">
      <w:pPr>
        <w:spacing w:after="0" w:line="240" w:lineRule="auto"/>
      </w:pPr>
      <w:r>
        <w:separator/>
      </w:r>
    </w:p>
  </w:endnote>
  <w:endnote w:type="continuationSeparator" w:id="0">
    <w:p w14:paraId="6096D57F" w14:textId="77777777" w:rsidR="00C07F07" w:rsidRDefault="00C07F07" w:rsidP="00C07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1315475"/>
      <w:docPartObj>
        <w:docPartGallery w:val="Page Numbers (Bottom of Page)"/>
        <w:docPartUnique/>
      </w:docPartObj>
    </w:sdtPr>
    <w:sdtEndPr>
      <w:rPr>
        <w:noProof/>
      </w:rPr>
    </w:sdtEndPr>
    <w:sdtContent>
      <w:p w14:paraId="514ADAEB" w14:textId="77777777" w:rsidR="00C07F07" w:rsidRDefault="00C07F07">
        <w:pPr>
          <w:pStyle w:val="Footer"/>
          <w:jc w:val="right"/>
        </w:pPr>
        <w:r>
          <w:fldChar w:fldCharType="begin"/>
        </w:r>
        <w:r>
          <w:instrText xml:space="preserve"> PAGE   \* MERGEFORMAT </w:instrText>
        </w:r>
        <w:r>
          <w:fldChar w:fldCharType="separate"/>
        </w:r>
        <w:r w:rsidR="001C3C76">
          <w:rPr>
            <w:noProof/>
          </w:rPr>
          <w:t>2</w:t>
        </w:r>
        <w:r>
          <w:rPr>
            <w:noProof/>
          </w:rPr>
          <w:fldChar w:fldCharType="end"/>
        </w:r>
      </w:p>
    </w:sdtContent>
  </w:sdt>
  <w:p w14:paraId="3FBD47B5" w14:textId="77777777" w:rsidR="00C07F07" w:rsidRDefault="00C07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86874" w14:textId="77777777" w:rsidR="00C07F07" w:rsidRDefault="00C07F07" w:rsidP="00C07F07">
      <w:pPr>
        <w:spacing w:after="0" w:line="240" w:lineRule="auto"/>
      </w:pPr>
      <w:r>
        <w:separator/>
      </w:r>
    </w:p>
  </w:footnote>
  <w:footnote w:type="continuationSeparator" w:id="0">
    <w:p w14:paraId="543F0768" w14:textId="77777777" w:rsidR="00C07F07" w:rsidRDefault="00C07F07" w:rsidP="00C07F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756"/>
    <w:rsid w:val="0002582D"/>
    <w:rsid w:val="00095AEC"/>
    <w:rsid w:val="000D3FA8"/>
    <w:rsid w:val="0011217B"/>
    <w:rsid w:val="00136313"/>
    <w:rsid w:val="00163756"/>
    <w:rsid w:val="00164911"/>
    <w:rsid w:val="001C3C76"/>
    <w:rsid w:val="00255460"/>
    <w:rsid w:val="0027097C"/>
    <w:rsid w:val="00354B28"/>
    <w:rsid w:val="0035789F"/>
    <w:rsid w:val="00374AD9"/>
    <w:rsid w:val="003975ED"/>
    <w:rsid w:val="003B1F7B"/>
    <w:rsid w:val="004137D6"/>
    <w:rsid w:val="004172DA"/>
    <w:rsid w:val="004239CA"/>
    <w:rsid w:val="004E798D"/>
    <w:rsid w:val="00595145"/>
    <w:rsid w:val="005A6B8B"/>
    <w:rsid w:val="005C2415"/>
    <w:rsid w:val="005D4F3B"/>
    <w:rsid w:val="00663F9F"/>
    <w:rsid w:val="007D43A5"/>
    <w:rsid w:val="00802D52"/>
    <w:rsid w:val="00807126"/>
    <w:rsid w:val="008A3B82"/>
    <w:rsid w:val="008C1BA5"/>
    <w:rsid w:val="008F7B50"/>
    <w:rsid w:val="00936C9E"/>
    <w:rsid w:val="009443D3"/>
    <w:rsid w:val="00956354"/>
    <w:rsid w:val="00980495"/>
    <w:rsid w:val="009C0905"/>
    <w:rsid w:val="00A02E53"/>
    <w:rsid w:val="00A61EAC"/>
    <w:rsid w:val="00AA2364"/>
    <w:rsid w:val="00AB0D40"/>
    <w:rsid w:val="00AF041A"/>
    <w:rsid w:val="00B445E3"/>
    <w:rsid w:val="00C07F07"/>
    <w:rsid w:val="00C51627"/>
    <w:rsid w:val="00CA23AC"/>
    <w:rsid w:val="00D11E50"/>
    <w:rsid w:val="00D47A51"/>
    <w:rsid w:val="00D71F6B"/>
    <w:rsid w:val="00DD44F4"/>
    <w:rsid w:val="00DF6D63"/>
    <w:rsid w:val="00EB4ADC"/>
    <w:rsid w:val="00F05DE3"/>
    <w:rsid w:val="00F2398A"/>
    <w:rsid w:val="00F72D45"/>
    <w:rsid w:val="00FA37E3"/>
    <w:rsid w:val="00FD1406"/>
    <w:rsid w:val="00FF5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561EC"/>
  <w15:chartTrackingRefBased/>
  <w15:docId w15:val="{02E1B8DA-A8E0-42A4-A4F1-3F0DD5E45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7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A2364"/>
    <w:rPr>
      <w:color w:val="0000FF"/>
      <w:u w:val="single"/>
    </w:rPr>
  </w:style>
  <w:style w:type="paragraph" w:styleId="Header">
    <w:name w:val="header"/>
    <w:basedOn w:val="Normal"/>
    <w:link w:val="HeaderChar"/>
    <w:uiPriority w:val="99"/>
    <w:unhideWhenUsed/>
    <w:rsid w:val="00C07F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F07"/>
  </w:style>
  <w:style w:type="paragraph" w:styleId="Footer">
    <w:name w:val="footer"/>
    <w:basedOn w:val="Normal"/>
    <w:link w:val="FooterChar"/>
    <w:uiPriority w:val="99"/>
    <w:unhideWhenUsed/>
    <w:rsid w:val="00C07F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F07"/>
  </w:style>
  <w:style w:type="character" w:styleId="FollowedHyperlink">
    <w:name w:val="FollowedHyperlink"/>
    <w:basedOn w:val="DefaultParagraphFont"/>
    <w:uiPriority w:val="99"/>
    <w:semiHidden/>
    <w:unhideWhenUsed/>
    <w:rsid w:val="0011217B"/>
    <w:rPr>
      <w:color w:val="954F72" w:themeColor="followedHyperlink"/>
      <w:u w:val="single"/>
    </w:rPr>
  </w:style>
  <w:style w:type="table" w:styleId="GridTable1Light">
    <w:name w:val="Grid Table 1 Light"/>
    <w:basedOn w:val="TableNormal"/>
    <w:uiPriority w:val="46"/>
    <w:rsid w:val="00D71F6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25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555259">
      <w:bodyDiv w:val="1"/>
      <w:marLeft w:val="0"/>
      <w:marRight w:val="0"/>
      <w:marTop w:val="0"/>
      <w:marBottom w:val="0"/>
      <w:divBdr>
        <w:top w:val="none" w:sz="0" w:space="0" w:color="auto"/>
        <w:left w:val="none" w:sz="0" w:space="0" w:color="auto"/>
        <w:bottom w:val="none" w:sz="0" w:space="0" w:color="auto"/>
        <w:right w:val="none" w:sz="0" w:space="0" w:color="auto"/>
      </w:divBdr>
    </w:div>
    <w:div w:id="473643637">
      <w:marLeft w:val="0"/>
      <w:marRight w:val="0"/>
      <w:marTop w:val="0"/>
      <w:marBottom w:val="0"/>
      <w:divBdr>
        <w:top w:val="none" w:sz="0" w:space="0" w:color="auto"/>
        <w:left w:val="none" w:sz="0" w:space="0" w:color="auto"/>
        <w:bottom w:val="none" w:sz="0" w:space="0" w:color="auto"/>
        <w:right w:val="none" w:sz="0" w:space="0" w:color="auto"/>
      </w:divBdr>
    </w:div>
    <w:div w:id="612833639">
      <w:marLeft w:val="0"/>
      <w:marRight w:val="0"/>
      <w:marTop w:val="0"/>
      <w:marBottom w:val="0"/>
      <w:divBdr>
        <w:top w:val="none" w:sz="0" w:space="0" w:color="auto"/>
        <w:left w:val="none" w:sz="0" w:space="0" w:color="auto"/>
        <w:bottom w:val="none" w:sz="0" w:space="0" w:color="auto"/>
        <w:right w:val="none" w:sz="0" w:space="0" w:color="auto"/>
      </w:divBdr>
    </w:div>
    <w:div w:id="926110899">
      <w:bodyDiv w:val="1"/>
      <w:marLeft w:val="0"/>
      <w:marRight w:val="0"/>
      <w:marTop w:val="0"/>
      <w:marBottom w:val="0"/>
      <w:divBdr>
        <w:top w:val="none" w:sz="0" w:space="0" w:color="auto"/>
        <w:left w:val="none" w:sz="0" w:space="0" w:color="auto"/>
        <w:bottom w:val="none" w:sz="0" w:space="0" w:color="auto"/>
        <w:right w:val="none" w:sz="0" w:space="0" w:color="auto"/>
      </w:divBdr>
    </w:div>
    <w:div w:id="966395553">
      <w:marLeft w:val="0"/>
      <w:marRight w:val="0"/>
      <w:marTop w:val="0"/>
      <w:marBottom w:val="0"/>
      <w:divBdr>
        <w:top w:val="none" w:sz="0" w:space="0" w:color="auto"/>
        <w:left w:val="none" w:sz="0" w:space="0" w:color="auto"/>
        <w:bottom w:val="none" w:sz="0" w:space="0" w:color="auto"/>
        <w:right w:val="none" w:sz="0" w:space="0" w:color="auto"/>
      </w:divBdr>
    </w:div>
    <w:div w:id="1099333215">
      <w:marLeft w:val="0"/>
      <w:marRight w:val="0"/>
      <w:marTop w:val="0"/>
      <w:marBottom w:val="0"/>
      <w:divBdr>
        <w:top w:val="none" w:sz="0" w:space="0" w:color="auto"/>
        <w:left w:val="none" w:sz="0" w:space="0" w:color="auto"/>
        <w:bottom w:val="none" w:sz="0" w:space="0" w:color="auto"/>
        <w:right w:val="none" w:sz="0" w:space="0" w:color="auto"/>
      </w:divBdr>
    </w:div>
    <w:div w:id="1110474189">
      <w:marLeft w:val="0"/>
      <w:marRight w:val="0"/>
      <w:marTop w:val="0"/>
      <w:marBottom w:val="0"/>
      <w:divBdr>
        <w:top w:val="none" w:sz="0" w:space="0" w:color="auto"/>
        <w:left w:val="none" w:sz="0" w:space="0" w:color="auto"/>
        <w:bottom w:val="none" w:sz="0" w:space="0" w:color="auto"/>
        <w:right w:val="none" w:sz="0" w:space="0" w:color="auto"/>
      </w:divBdr>
    </w:div>
    <w:div w:id="1113012709">
      <w:bodyDiv w:val="1"/>
      <w:marLeft w:val="0"/>
      <w:marRight w:val="0"/>
      <w:marTop w:val="0"/>
      <w:marBottom w:val="0"/>
      <w:divBdr>
        <w:top w:val="none" w:sz="0" w:space="0" w:color="auto"/>
        <w:left w:val="none" w:sz="0" w:space="0" w:color="auto"/>
        <w:bottom w:val="none" w:sz="0" w:space="0" w:color="auto"/>
        <w:right w:val="none" w:sz="0" w:space="0" w:color="auto"/>
      </w:divBdr>
    </w:div>
    <w:div w:id="1200699874">
      <w:bodyDiv w:val="1"/>
      <w:marLeft w:val="0"/>
      <w:marRight w:val="0"/>
      <w:marTop w:val="0"/>
      <w:marBottom w:val="0"/>
      <w:divBdr>
        <w:top w:val="none" w:sz="0" w:space="0" w:color="auto"/>
        <w:left w:val="none" w:sz="0" w:space="0" w:color="auto"/>
        <w:bottom w:val="none" w:sz="0" w:space="0" w:color="auto"/>
        <w:right w:val="none" w:sz="0" w:space="0" w:color="auto"/>
      </w:divBdr>
    </w:div>
    <w:div w:id="1204908624">
      <w:bodyDiv w:val="1"/>
      <w:marLeft w:val="0"/>
      <w:marRight w:val="0"/>
      <w:marTop w:val="0"/>
      <w:marBottom w:val="0"/>
      <w:divBdr>
        <w:top w:val="none" w:sz="0" w:space="0" w:color="auto"/>
        <w:left w:val="none" w:sz="0" w:space="0" w:color="auto"/>
        <w:bottom w:val="none" w:sz="0" w:space="0" w:color="auto"/>
        <w:right w:val="none" w:sz="0" w:space="0" w:color="auto"/>
      </w:divBdr>
    </w:div>
    <w:div w:id="1365014354">
      <w:marLeft w:val="0"/>
      <w:marRight w:val="0"/>
      <w:marTop w:val="0"/>
      <w:marBottom w:val="0"/>
      <w:divBdr>
        <w:top w:val="none" w:sz="0" w:space="0" w:color="auto"/>
        <w:left w:val="none" w:sz="0" w:space="0" w:color="auto"/>
        <w:bottom w:val="none" w:sz="0" w:space="0" w:color="auto"/>
        <w:right w:val="none" w:sz="0" w:space="0" w:color="auto"/>
      </w:divBdr>
    </w:div>
    <w:div w:id="1467695714">
      <w:bodyDiv w:val="1"/>
      <w:marLeft w:val="0"/>
      <w:marRight w:val="0"/>
      <w:marTop w:val="0"/>
      <w:marBottom w:val="0"/>
      <w:divBdr>
        <w:top w:val="none" w:sz="0" w:space="0" w:color="auto"/>
        <w:left w:val="none" w:sz="0" w:space="0" w:color="auto"/>
        <w:bottom w:val="none" w:sz="0" w:space="0" w:color="auto"/>
        <w:right w:val="none" w:sz="0" w:space="0" w:color="auto"/>
      </w:divBdr>
      <w:divsChild>
        <w:div w:id="1854763141">
          <w:marLeft w:val="0"/>
          <w:marRight w:val="0"/>
          <w:marTop w:val="0"/>
          <w:marBottom w:val="0"/>
          <w:divBdr>
            <w:top w:val="none" w:sz="0" w:space="0" w:color="auto"/>
            <w:left w:val="none" w:sz="0" w:space="0" w:color="auto"/>
            <w:bottom w:val="none" w:sz="0" w:space="0" w:color="auto"/>
            <w:right w:val="none" w:sz="0" w:space="0" w:color="auto"/>
          </w:divBdr>
        </w:div>
      </w:divsChild>
    </w:div>
    <w:div w:id="1681811431">
      <w:bodyDiv w:val="1"/>
      <w:marLeft w:val="0"/>
      <w:marRight w:val="0"/>
      <w:marTop w:val="0"/>
      <w:marBottom w:val="0"/>
      <w:divBdr>
        <w:top w:val="none" w:sz="0" w:space="0" w:color="auto"/>
        <w:left w:val="none" w:sz="0" w:space="0" w:color="auto"/>
        <w:bottom w:val="none" w:sz="0" w:space="0" w:color="auto"/>
        <w:right w:val="none" w:sz="0" w:space="0" w:color="auto"/>
      </w:divBdr>
    </w:div>
    <w:div w:id="1783456479">
      <w:bodyDiv w:val="1"/>
      <w:marLeft w:val="0"/>
      <w:marRight w:val="0"/>
      <w:marTop w:val="0"/>
      <w:marBottom w:val="0"/>
      <w:divBdr>
        <w:top w:val="none" w:sz="0" w:space="0" w:color="auto"/>
        <w:left w:val="none" w:sz="0" w:space="0" w:color="auto"/>
        <w:bottom w:val="none" w:sz="0" w:space="0" w:color="auto"/>
        <w:right w:val="none" w:sz="0" w:space="0" w:color="auto"/>
      </w:divBdr>
    </w:div>
    <w:div w:id="1970935413">
      <w:bodyDiv w:val="1"/>
      <w:marLeft w:val="0"/>
      <w:marRight w:val="0"/>
      <w:marTop w:val="0"/>
      <w:marBottom w:val="0"/>
      <w:divBdr>
        <w:top w:val="none" w:sz="0" w:space="0" w:color="auto"/>
        <w:left w:val="none" w:sz="0" w:space="0" w:color="auto"/>
        <w:bottom w:val="none" w:sz="0" w:space="0" w:color="auto"/>
        <w:right w:val="none" w:sz="0" w:space="0" w:color="auto"/>
      </w:divBdr>
    </w:div>
    <w:div w:id="2022122988">
      <w:bodyDiv w:val="1"/>
      <w:marLeft w:val="0"/>
      <w:marRight w:val="0"/>
      <w:marTop w:val="0"/>
      <w:marBottom w:val="0"/>
      <w:divBdr>
        <w:top w:val="none" w:sz="0" w:space="0" w:color="auto"/>
        <w:left w:val="none" w:sz="0" w:space="0" w:color="auto"/>
        <w:bottom w:val="none" w:sz="0" w:space="0" w:color="auto"/>
        <w:right w:val="none" w:sz="0" w:space="0" w:color="auto"/>
      </w:divBdr>
    </w:div>
    <w:div w:id="209046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unities-ni.gov.uk/publications/town-centre-database" TargetMode="External"/><Relationship Id="rId3" Type="http://schemas.openxmlformats.org/officeDocument/2006/relationships/webSettings" Target="webSettings.xml"/><Relationship Id="rId7"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abc-svr-17\ABC-Banbridgelegacy\community_planning\2.%20Cmty%20&amp;%20Strat%20Planning%20JD\DATA%20ANALYST\2.%20Statistics%20for%20Website\Economy%20and%20Labour%20Market\Updates\2024\Town%20Centre%20Vacancy%20Rates%20-%20updated.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abc-svr-17\ABC-Banbridgelegacy\community_planning\2.%20Cmty%20&amp;%20Strat%20Planning%20JD\DATA%20ANALYST\2.%20Statistics%20for%20Website\Economy%20and%20Labour%20Market\Updates\2024\Town%20Centre%20Vacancy%20Rates%20-%20updated.xls"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Sheet6!$C$15</c:f>
              <c:strCache>
                <c:ptCount val="1"/>
                <c:pt idx="0">
                  <c:v>% of Vacant Properties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Sheet6!$B$16:$B$21</c:f>
              <c:strCache>
                <c:ptCount val="6"/>
                <c:pt idx="0">
                  <c:v>Dromore</c:v>
                </c:pt>
                <c:pt idx="1">
                  <c:v>Lurgan</c:v>
                </c:pt>
                <c:pt idx="2">
                  <c:v>Portadown</c:v>
                </c:pt>
                <c:pt idx="3">
                  <c:v>Armagh</c:v>
                </c:pt>
                <c:pt idx="4">
                  <c:v>Banbridge</c:v>
                </c:pt>
                <c:pt idx="5">
                  <c:v>Craigavon</c:v>
                </c:pt>
              </c:strCache>
            </c:strRef>
          </c:cat>
          <c:val>
            <c:numRef>
              <c:f>Sheet6!$C$16:$C$21</c:f>
              <c:numCache>
                <c:formatCode>0.0%</c:formatCode>
                <c:ptCount val="6"/>
                <c:pt idx="0">
                  <c:v>0.24409448818897639</c:v>
                </c:pt>
                <c:pt idx="1">
                  <c:v>0.21115537848605578</c:v>
                </c:pt>
                <c:pt idx="2">
                  <c:v>0.21021897810218979</c:v>
                </c:pt>
                <c:pt idx="3">
                  <c:v>0.16415868673050615</c:v>
                </c:pt>
                <c:pt idx="4">
                  <c:v>0.16359447004608296</c:v>
                </c:pt>
                <c:pt idx="5">
                  <c:v>7.9207920792079209E-2</c:v>
                </c:pt>
              </c:numCache>
            </c:numRef>
          </c:val>
          <c:extLst>
            <c:ext xmlns:c16="http://schemas.microsoft.com/office/drawing/2014/chart" uri="{C3380CC4-5D6E-409C-BE32-E72D297353CC}">
              <c16:uniqueId val="{00000000-8618-421A-BBBC-B962890F2B71}"/>
            </c:ext>
          </c:extLst>
        </c:ser>
        <c:dLbls>
          <c:showLegendKey val="0"/>
          <c:showVal val="0"/>
          <c:showCatName val="0"/>
          <c:showSerName val="0"/>
          <c:showPercent val="0"/>
          <c:showBubbleSize val="0"/>
        </c:dLbls>
        <c:gapWidth val="100"/>
        <c:overlap val="-27"/>
        <c:axId val="1746314160"/>
        <c:axId val="1746321840"/>
      </c:barChart>
      <c:catAx>
        <c:axId val="1746314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6321840"/>
        <c:crosses val="autoZero"/>
        <c:auto val="1"/>
        <c:lblAlgn val="ctr"/>
        <c:lblOffset val="100"/>
        <c:noMultiLvlLbl val="0"/>
      </c:catAx>
      <c:valAx>
        <c:axId val="1746321840"/>
        <c:scaling>
          <c:orientation val="minMax"/>
          <c:max val="0.25"/>
        </c:scaling>
        <c:delete val="0"/>
        <c:axPos val="l"/>
        <c:majorGridlines>
          <c:spPr>
            <a:ln w="9525" cap="flat" cmpd="sng" algn="ctr">
              <a:solidFill>
                <a:schemeClr val="tx1">
                  <a:lumMod val="15000"/>
                  <a:lumOff val="85000"/>
                </a:schemeClr>
              </a:solidFill>
              <a:prstDash val="lgDashDotDot"/>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6314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Sheet10!$B$4</c:f>
              <c:strCache>
                <c:ptCount val="1"/>
                <c:pt idx="0">
                  <c:v>30th April 2024</c:v>
                </c:pt>
              </c:strCache>
            </c:strRef>
          </c:tx>
          <c:spPr>
            <a:solidFill>
              <a:schemeClr val="accent1"/>
            </a:solidFill>
            <a:ln>
              <a:noFill/>
            </a:ln>
            <a:effectLst/>
          </c:spPr>
          <c:invertIfNegative val="0"/>
          <c:dPt>
            <c:idx val="2"/>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1-4A2D-4044-98FF-8D17417C4884}"/>
              </c:ext>
            </c:extLst>
          </c:dPt>
          <c:dPt>
            <c:idx val="7"/>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3-4A2D-4044-98FF-8D17417C4884}"/>
              </c:ext>
            </c:extLst>
          </c:dPt>
          <c:dPt>
            <c:idx val="9"/>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5-4A2D-4044-98FF-8D17417C4884}"/>
              </c:ext>
            </c:extLst>
          </c:dPt>
          <c:dPt>
            <c:idx val="10"/>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7-4A2D-4044-98FF-8D17417C4884}"/>
              </c:ext>
            </c:extLst>
          </c:dPt>
          <c:dPt>
            <c:idx val="28"/>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9-4A2D-4044-98FF-8D17417C4884}"/>
              </c:ext>
            </c:extLst>
          </c:dPt>
          <c:dPt>
            <c:idx val="29"/>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B-4A2D-4044-98FF-8D17417C4884}"/>
              </c:ext>
            </c:extLst>
          </c:dPt>
          <c:dPt>
            <c:idx val="40"/>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D-4A2D-4044-98FF-8D17417C4884}"/>
              </c:ext>
            </c:extLst>
          </c:dPt>
          <c:cat>
            <c:strRef>
              <c:f>Sheet10!$A$5:$A$46</c:f>
              <c:strCache>
                <c:ptCount val="42"/>
                <c:pt idx="0">
                  <c:v>BELFAST CITY</c:v>
                </c:pt>
                <c:pt idx="1">
                  <c:v>RANDALSTOWN</c:v>
                </c:pt>
                <c:pt idx="2">
                  <c:v>DROMORE</c:v>
                </c:pt>
                <c:pt idx="3">
                  <c:v>STRABANE</c:v>
                </c:pt>
                <c:pt idx="4">
                  <c:v>KILKEEL</c:v>
                </c:pt>
                <c:pt idx="5">
                  <c:v>COALISLAND</c:v>
                </c:pt>
                <c:pt idx="6">
                  <c:v>COLERAINE</c:v>
                </c:pt>
                <c:pt idx="7">
                  <c:v>NORTHERN IRELAND </c:v>
                </c:pt>
                <c:pt idx="8">
                  <c:v>LARNE</c:v>
                </c:pt>
                <c:pt idx="9">
                  <c:v>LURGAN</c:v>
                </c:pt>
                <c:pt idx="10">
                  <c:v>PORTADOWN</c:v>
                </c:pt>
                <c:pt idx="11">
                  <c:v>NEWTOWNARDS</c:v>
                </c:pt>
                <c:pt idx="12">
                  <c:v>BANGOR</c:v>
                </c:pt>
                <c:pt idx="13">
                  <c:v>NEWRY</c:v>
                </c:pt>
                <c:pt idx="14">
                  <c:v>ENNISKILLEN</c:v>
                </c:pt>
                <c:pt idx="15">
                  <c:v>LISBURN CITY</c:v>
                </c:pt>
                <c:pt idx="16">
                  <c:v>DUNGANNON</c:v>
                </c:pt>
                <c:pt idx="17">
                  <c:v>DOWNPATRICK</c:v>
                </c:pt>
                <c:pt idx="18">
                  <c:v>DERRY</c:v>
                </c:pt>
                <c:pt idx="19">
                  <c:v>BALLYMONEY</c:v>
                </c:pt>
                <c:pt idx="20">
                  <c:v>OMAGH</c:v>
                </c:pt>
                <c:pt idx="21">
                  <c:v>LIMAVADY</c:v>
                </c:pt>
                <c:pt idx="22">
                  <c:v>WARRENPOINT / BURREN</c:v>
                </c:pt>
                <c:pt idx="23">
                  <c:v>CRUMLIN</c:v>
                </c:pt>
                <c:pt idx="24">
                  <c:v>BALLYCASTLE</c:v>
                </c:pt>
                <c:pt idx="25">
                  <c:v>BALLYMENA</c:v>
                </c:pt>
                <c:pt idx="26">
                  <c:v>ANTRIM</c:v>
                </c:pt>
                <c:pt idx="27">
                  <c:v>BALLYNAHINCH</c:v>
                </c:pt>
                <c:pt idx="28">
                  <c:v>ARMAGH</c:v>
                </c:pt>
                <c:pt idx="29">
                  <c:v>BANBRIDGE</c:v>
                </c:pt>
                <c:pt idx="30">
                  <c:v>COOKSTOWN</c:v>
                </c:pt>
                <c:pt idx="31">
                  <c:v>DONAGHADEE</c:v>
                </c:pt>
                <c:pt idx="32">
                  <c:v>COMBER</c:v>
                </c:pt>
                <c:pt idx="33">
                  <c:v>BALLYCLARE</c:v>
                </c:pt>
                <c:pt idx="34">
                  <c:v>PORTSTEWART</c:v>
                </c:pt>
                <c:pt idx="35">
                  <c:v>CARRICKFERGUS</c:v>
                </c:pt>
                <c:pt idx="36">
                  <c:v>MAGHERAFELT</c:v>
                </c:pt>
                <c:pt idx="37">
                  <c:v>PORTRUSH</c:v>
                </c:pt>
                <c:pt idx="38">
                  <c:v>HOLYWOOD</c:v>
                </c:pt>
                <c:pt idx="39">
                  <c:v>NEWCASTLE</c:v>
                </c:pt>
                <c:pt idx="40">
                  <c:v>CRAIGAVON</c:v>
                </c:pt>
                <c:pt idx="41">
                  <c:v>CARRYDUFF</c:v>
                </c:pt>
              </c:strCache>
            </c:strRef>
          </c:cat>
          <c:val>
            <c:numRef>
              <c:f>Sheet10!$B$5:$B$46</c:f>
              <c:numCache>
                <c:formatCode>0.0%</c:formatCode>
                <c:ptCount val="42"/>
                <c:pt idx="0">
                  <c:v>0.34233084078059456</c:v>
                </c:pt>
                <c:pt idx="1">
                  <c:v>0.29133858267716534</c:v>
                </c:pt>
                <c:pt idx="2">
                  <c:v>0.24409448818897639</c:v>
                </c:pt>
                <c:pt idx="3">
                  <c:v>0.23661971830985915</c:v>
                </c:pt>
                <c:pt idx="4">
                  <c:v>0.23195876288659795</c:v>
                </c:pt>
                <c:pt idx="5">
                  <c:v>0.2318840579710145</c:v>
                </c:pt>
                <c:pt idx="6">
                  <c:v>0.22681883024251071</c:v>
                </c:pt>
                <c:pt idx="7">
                  <c:v>0.22381353552372929</c:v>
                </c:pt>
                <c:pt idx="8">
                  <c:v>0.21628498727735368</c:v>
                </c:pt>
                <c:pt idx="9">
                  <c:v>0.21115537848605578</c:v>
                </c:pt>
                <c:pt idx="10">
                  <c:v>0.21021897810218979</c:v>
                </c:pt>
                <c:pt idx="11">
                  <c:v>0.20895522388059701</c:v>
                </c:pt>
                <c:pt idx="12">
                  <c:v>0.20808383233532934</c:v>
                </c:pt>
                <c:pt idx="13">
                  <c:v>0.19499478623566216</c:v>
                </c:pt>
                <c:pt idx="14">
                  <c:v>0.18975903614457831</c:v>
                </c:pt>
                <c:pt idx="15">
                  <c:v>0.18901660280970625</c:v>
                </c:pt>
                <c:pt idx="16">
                  <c:v>0.18879668049792531</c:v>
                </c:pt>
                <c:pt idx="17">
                  <c:v>0.18835616438356165</c:v>
                </c:pt>
                <c:pt idx="18">
                  <c:v>0.18716892289582107</c:v>
                </c:pt>
                <c:pt idx="19">
                  <c:v>0.17985611510791366</c:v>
                </c:pt>
                <c:pt idx="20">
                  <c:v>0.17647058823529413</c:v>
                </c:pt>
                <c:pt idx="21">
                  <c:v>0.17482517482517482</c:v>
                </c:pt>
                <c:pt idx="22">
                  <c:v>0.17010309278350516</c:v>
                </c:pt>
                <c:pt idx="23">
                  <c:v>0.17</c:v>
                </c:pt>
                <c:pt idx="24">
                  <c:v>0.16981132075471697</c:v>
                </c:pt>
                <c:pt idx="25">
                  <c:v>0.1690694626474443</c:v>
                </c:pt>
                <c:pt idx="26">
                  <c:v>0.16666666666666666</c:v>
                </c:pt>
                <c:pt idx="27">
                  <c:v>0.16489361702127658</c:v>
                </c:pt>
                <c:pt idx="28">
                  <c:v>0.16415868673050615</c:v>
                </c:pt>
                <c:pt idx="29">
                  <c:v>0.16359447004608296</c:v>
                </c:pt>
                <c:pt idx="30">
                  <c:v>0.15443037974683543</c:v>
                </c:pt>
                <c:pt idx="31">
                  <c:v>0.15126050420168066</c:v>
                </c:pt>
                <c:pt idx="32">
                  <c:v>0.14728682170542637</c:v>
                </c:pt>
                <c:pt idx="33">
                  <c:v>0.14285714285714285</c:v>
                </c:pt>
                <c:pt idx="34">
                  <c:v>0.13861386138613863</c:v>
                </c:pt>
                <c:pt idx="35">
                  <c:v>0.13815789473684212</c:v>
                </c:pt>
                <c:pt idx="36">
                  <c:v>0.11851851851851852</c:v>
                </c:pt>
                <c:pt idx="37">
                  <c:v>0.11450381679389313</c:v>
                </c:pt>
                <c:pt idx="38">
                  <c:v>0.10130718954248366</c:v>
                </c:pt>
                <c:pt idx="39">
                  <c:v>8.9686098654708515E-2</c:v>
                </c:pt>
                <c:pt idx="40">
                  <c:v>7.9207920792079209E-2</c:v>
                </c:pt>
                <c:pt idx="41">
                  <c:v>6.25E-2</c:v>
                </c:pt>
              </c:numCache>
            </c:numRef>
          </c:val>
          <c:extLst>
            <c:ext xmlns:c16="http://schemas.microsoft.com/office/drawing/2014/chart" uri="{C3380CC4-5D6E-409C-BE32-E72D297353CC}">
              <c16:uniqueId val="{0000000E-4A2D-4044-98FF-8D17417C4884}"/>
            </c:ext>
          </c:extLst>
        </c:ser>
        <c:dLbls>
          <c:showLegendKey val="0"/>
          <c:showVal val="0"/>
          <c:showCatName val="0"/>
          <c:showSerName val="0"/>
          <c:showPercent val="0"/>
          <c:showBubbleSize val="0"/>
        </c:dLbls>
        <c:gapWidth val="150"/>
        <c:overlap val="-27"/>
        <c:axId val="1746307440"/>
        <c:axId val="1746304080"/>
      </c:barChart>
      <c:catAx>
        <c:axId val="1746307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6304080"/>
        <c:crosses val="autoZero"/>
        <c:auto val="1"/>
        <c:lblAlgn val="ctr"/>
        <c:lblOffset val="100"/>
        <c:tickLblSkip val="1"/>
        <c:noMultiLvlLbl val="0"/>
      </c:catAx>
      <c:valAx>
        <c:axId val="1746304080"/>
        <c:scaling>
          <c:orientation val="minMax"/>
          <c:max val="0.35000000000000003"/>
        </c:scaling>
        <c:delete val="0"/>
        <c:axPos val="l"/>
        <c:majorGridlines>
          <c:spPr>
            <a:ln w="9525" cap="flat" cmpd="sng" algn="ctr">
              <a:solidFill>
                <a:schemeClr val="tx1">
                  <a:lumMod val="15000"/>
                  <a:lumOff val="85000"/>
                </a:schemeClr>
              </a:solidFill>
              <a:prstDash val="lgDashDotDot"/>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630744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Gordon</dc:creator>
  <cp:keywords/>
  <dc:description/>
  <cp:lastModifiedBy>Jessica Bennett</cp:lastModifiedBy>
  <cp:revision>8</cp:revision>
  <dcterms:created xsi:type="dcterms:W3CDTF">2023-12-15T08:48:00Z</dcterms:created>
  <dcterms:modified xsi:type="dcterms:W3CDTF">2024-08-09T11:26:00Z</dcterms:modified>
</cp:coreProperties>
</file>